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429" w:rsidRDefault="009C5429" w:rsidP="00CE500F">
      <w:pPr>
        <w:pStyle w:val="Kopfzeile"/>
        <w:spacing w:line="310" w:lineRule="exact"/>
        <w:rPr>
          <w:sz w:val="32"/>
          <w:szCs w:val="32"/>
        </w:rPr>
      </w:pPr>
      <w:bookmarkStart w:id="0" w:name="_GoBack"/>
      <w:bookmarkEnd w:id="0"/>
      <w:r w:rsidRPr="009C5429">
        <w:rPr>
          <w:sz w:val="32"/>
          <w:szCs w:val="32"/>
        </w:rPr>
        <w:t>Presse-Information</w:t>
      </w:r>
    </w:p>
    <w:p w:rsidR="009C5429" w:rsidRPr="009C5429" w:rsidRDefault="00B65ACD" w:rsidP="00CE500F">
      <w:pPr>
        <w:pStyle w:val="Kopfzeile"/>
        <w:spacing w:line="310" w:lineRule="exact"/>
        <w:rPr>
          <w:szCs w:val="22"/>
        </w:rPr>
      </w:pPr>
      <w:r>
        <w:rPr>
          <w:szCs w:val="22"/>
        </w:rPr>
        <w:br/>
      </w:r>
    </w:p>
    <w:p w:rsidR="006666F7" w:rsidRPr="000D383E" w:rsidRDefault="00EC0F3D" w:rsidP="00CE500F">
      <w:pPr>
        <w:tabs>
          <w:tab w:val="left" w:pos="5940"/>
        </w:tabs>
        <w:spacing w:line="310" w:lineRule="exact"/>
        <w:rPr>
          <w:sz w:val="24"/>
        </w:rPr>
      </w:pPr>
      <w:r w:rsidRPr="000D383E">
        <w:rPr>
          <w:sz w:val="24"/>
        </w:rPr>
        <w:t>Stuttgart</w:t>
      </w:r>
      <w:r w:rsidR="00C71C72" w:rsidRPr="000D383E">
        <w:rPr>
          <w:sz w:val="24"/>
        </w:rPr>
        <w:t xml:space="preserve">, </w:t>
      </w:r>
      <w:r w:rsidR="004F6C7B">
        <w:rPr>
          <w:sz w:val="24"/>
        </w:rPr>
        <w:t>31</w:t>
      </w:r>
      <w:r w:rsidRPr="000D383E">
        <w:rPr>
          <w:sz w:val="24"/>
        </w:rPr>
        <w:t>.</w:t>
      </w:r>
      <w:r w:rsidR="004F6C7B">
        <w:rPr>
          <w:sz w:val="24"/>
        </w:rPr>
        <w:t>03</w:t>
      </w:r>
      <w:r w:rsidRPr="000D383E">
        <w:rPr>
          <w:sz w:val="24"/>
        </w:rPr>
        <w:t>.20</w:t>
      </w:r>
      <w:r w:rsidR="006666F7" w:rsidRPr="000D383E">
        <w:rPr>
          <w:sz w:val="24"/>
        </w:rPr>
        <w:t>1</w:t>
      </w:r>
      <w:r w:rsidR="004F6C7B">
        <w:rPr>
          <w:sz w:val="24"/>
        </w:rPr>
        <w:t>7</w:t>
      </w:r>
    </w:p>
    <w:p w:rsidR="00C71C72" w:rsidRPr="008E2E18" w:rsidRDefault="00C71C72" w:rsidP="00CE500F">
      <w:pPr>
        <w:tabs>
          <w:tab w:val="left" w:pos="5940"/>
        </w:tabs>
        <w:spacing w:line="310" w:lineRule="exact"/>
      </w:pPr>
      <w:r>
        <w:rPr>
          <w:sz w:val="24"/>
        </w:rPr>
        <w:tab/>
      </w:r>
      <w:r>
        <w:rPr>
          <w:sz w:val="24"/>
        </w:rPr>
        <w:tab/>
      </w:r>
      <w:r>
        <w:rPr>
          <w:sz w:val="24"/>
        </w:rPr>
        <w:tab/>
      </w:r>
      <w:r>
        <w:rPr>
          <w:sz w:val="24"/>
        </w:rPr>
        <w:tab/>
      </w:r>
      <w:r>
        <w:rPr>
          <w:sz w:val="24"/>
        </w:rPr>
        <w:tab/>
      </w:r>
      <w:r>
        <w:rPr>
          <w:sz w:val="24"/>
        </w:rPr>
        <w:tab/>
        <w:t xml:space="preserve">      </w:t>
      </w:r>
    </w:p>
    <w:p w:rsidR="00C71C72" w:rsidRDefault="00C71C72" w:rsidP="00CE500F">
      <w:pPr>
        <w:spacing w:line="310" w:lineRule="exact"/>
        <w:sectPr w:rsidR="00C71C72" w:rsidSect="002A1140">
          <w:headerReference w:type="default" r:id="rId8"/>
          <w:footerReference w:type="default" r:id="rId9"/>
          <w:pgSz w:w="11906" w:h="16838"/>
          <w:pgMar w:top="1417" w:right="1417" w:bottom="1134" w:left="1417" w:header="708" w:footer="794" w:gutter="0"/>
          <w:cols w:space="708"/>
          <w:docGrid w:linePitch="360"/>
        </w:sectPr>
      </w:pPr>
    </w:p>
    <w:p w:rsidR="007579DE" w:rsidRDefault="007579DE" w:rsidP="007579DE">
      <w:pPr>
        <w:pStyle w:val="Headline"/>
        <w:spacing w:after="120" w:afterAutospacing="0" w:line="310" w:lineRule="exact"/>
        <w:rPr>
          <w:rFonts w:eastAsia="Calibri" w:cs="Arial"/>
          <w:sz w:val="22"/>
          <w:szCs w:val="22"/>
          <w:lang w:eastAsia="en-US"/>
        </w:rPr>
      </w:pPr>
    </w:p>
    <w:p w:rsidR="00E703BE" w:rsidRPr="00E703BE" w:rsidRDefault="00E703BE" w:rsidP="00CE500F">
      <w:pPr>
        <w:pStyle w:val="Headline"/>
        <w:spacing w:after="240" w:afterAutospacing="0" w:line="310" w:lineRule="exact"/>
        <w:rPr>
          <w:rFonts w:eastAsia="Calibri" w:cs="Arial"/>
          <w:sz w:val="22"/>
          <w:szCs w:val="22"/>
          <w:lang w:eastAsia="en-US"/>
        </w:rPr>
      </w:pPr>
      <w:r w:rsidRPr="00E703BE">
        <w:rPr>
          <w:rFonts w:eastAsia="Calibri" w:cs="Arial"/>
          <w:sz w:val="22"/>
          <w:szCs w:val="22"/>
          <w:lang w:eastAsia="en-US"/>
        </w:rPr>
        <w:t xml:space="preserve">S p e r r f r i s t: </w:t>
      </w:r>
      <w:r>
        <w:rPr>
          <w:rFonts w:eastAsia="Calibri" w:cs="Arial"/>
          <w:sz w:val="22"/>
          <w:szCs w:val="22"/>
          <w:lang w:eastAsia="en-US"/>
        </w:rPr>
        <w:t xml:space="preserve"> </w:t>
      </w:r>
      <w:r w:rsidRPr="00E703BE">
        <w:rPr>
          <w:rFonts w:eastAsia="Calibri" w:cs="Arial"/>
          <w:sz w:val="22"/>
          <w:szCs w:val="22"/>
          <w:lang w:eastAsia="en-US"/>
        </w:rPr>
        <w:t>31. März 2017, 9.30 Uhr</w:t>
      </w:r>
    </w:p>
    <w:p w:rsidR="00E703BE" w:rsidRPr="00E703BE" w:rsidRDefault="00E703BE" w:rsidP="00B938DD">
      <w:pPr>
        <w:pStyle w:val="Text"/>
        <w:rPr>
          <w:rFonts w:eastAsia="Calibri"/>
          <w:lang w:eastAsia="en-US"/>
        </w:rPr>
      </w:pPr>
    </w:p>
    <w:p w:rsidR="006666F7" w:rsidRPr="004F6C7B" w:rsidRDefault="00C20675" w:rsidP="00CE500F">
      <w:pPr>
        <w:pStyle w:val="Headline"/>
        <w:spacing w:after="240" w:afterAutospacing="0" w:line="310" w:lineRule="exact"/>
        <w:rPr>
          <w:rFonts w:cs="Arial"/>
          <w:sz w:val="28"/>
          <w:szCs w:val="28"/>
        </w:rPr>
      </w:pPr>
      <w:r w:rsidRPr="004F6C7B">
        <w:rPr>
          <w:rFonts w:eastAsia="Calibri" w:cs="Arial"/>
          <w:sz w:val="28"/>
          <w:szCs w:val="28"/>
          <w:lang w:eastAsia="en-US"/>
        </w:rPr>
        <w:t>W&amp;W-Gruppe verzeichnet gutes Geschäftsjahr 2016</w:t>
      </w:r>
    </w:p>
    <w:p w:rsidR="00C20675" w:rsidRPr="00C20675" w:rsidRDefault="00C20675" w:rsidP="00CE500F">
      <w:pPr>
        <w:pStyle w:val="Listenabsatz"/>
        <w:numPr>
          <w:ilvl w:val="0"/>
          <w:numId w:val="3"/>
        </w:numPr>
        <w:spacing w:after="180" w:line="310" w:lineRule="exact"/>
        <w:ind w:left="851" w:hanging="851"/>
        <w:rPr>
          <w:rFonts w:eastAsia="Calibri" w:cs="Arial"/>
          <w:b/>
          <w:szCs w:val="22"/>
          <w:lang w:eastAsia="en-US"/>
        </w:rPr>
      </w:pPr>
      <w:r w:rsidRPr="00C20675">
        <w:rPr>
          <w:rFonts w:eastAsia="Calibri" w:cs="Arial"/>
          <w:b/>
          <w:szCs w:val="22"/>
          <w:lang w:eastAsia="en-US"/>
        </w:rPr>
        <w:t>Prognose mit Konzern</w:t>
      </w:r>
      <w:r w:rsidR="00D14D9A">
        <w:rPr>
          <w:rFonts w:eastAsia="Calibri" w:cs="Arial"/>
          <w:b/>
          <w:szCs w:val="22"/>
          <w:lang w:eastAsia="en-US"/>
        </w:rPr>
        <w:t>überschuss</w:t>
      </w:r>
      <w:r w:rsidRPr="00C20675">
        <w:rPr>
          <w:rFonts w:eastAsia="Calibri" w:cs="Arial"/>
          <w:b/>
          <w:szCs w:val="22"/>
          <w:lang w:eastAsia="en-US"/>
        </w:rPr>
        <w:t xml:space="preserve"> von rund 235 Millionen Euro gut erreicht</w:t>
      </w:r>
      <w:r w:rsidR="00834FA5">
        <w:rPr>
          <w:rFonts w:eastAsia="Calibri" w:cs="Arial"/>
          <w:b/>
          <w:szCs w:val="22"/>
          <w:lang w:eastAsia="en-US"/>
        </w:rPr>
        <w:t>.</w:t>
      </w:r>
    </w:p>
    <w:p w:rsidR="00C20675" w:rsidRPr="00C20675" w:rsidRDefault="00C20675" w:rsidP="00CE500F">
      <w:pPr>
        <w:pStyle w:val="Listenabsatz"/>
        <w:numPr>
          <w:ilvl w:val="0"/>
          <w:numId w:val="3"/>
        </w:numPr>
        <w:spacing w:after="180" w:line="310" w:lineRule="exact"/>
        <w:ind w:left="851" w:hanging="851"/>
        <w:rPr>
          <w:rFonts w:eastAsia="Calibri" w:cs="Arial"/>
          <w:b/>
          <w:szCs w:val="22"/>
          <w:lang w:eastAsia="en-US"/>
        </w:rPr>
      </w:pPr>
      <w:r w:rsidRPr="00C20675">
        <w:rPr>
          <w:rFonts w:eastAsia="Calibri" w:cs="Arial"/>
          <w:b/>
          <w:szCs w:val="22"/>
          <w:lang w:eastAsia="en-US"/>
        </w:rPr>
        <w:t>Wüstenrot Bausparkasse erhöht in einem rückläufigen Markt das Netto-Neugeschäft und gewinnt Marktanteile</w:t>
      </w:r>
      <w:r w:rsidR="00834FA5">
        <w:rPr>
          <w:rFonts w:eastAsia="Calibri" w:cs="Arial"/>
          <w:b/>
          <w:szCs w:val="22"/>
          <w:lang w:eastAsia="en-US"/>
        </w:rPr>
        <w:t>.</w:t>
      </w:r>
    </w:p>
    <w:p w:rsidR="00C20675" w:rsidRPr="00C20675" w:rsidRDefault="00C20675" w:rsidP="00CE500F">
      <w:pPr>
        <w:pStyle w:val="Listenabsatz"/>
        <w:numPr>
          <w:ilvl w:val="0"/>
          <w:numId w:val="3"/>
        </w:numPr>
        <w:spacing w:after="180" w:line="310" w:lineRule="exact"/>
        <w:ind w:left="851" w:hanging="851"/>
        <w:rPr>
          <w:rFonts w:eastAsia="Calibri" w:cs="Arial"/>
          <w:b/>
          <w:szCs w:val="22"/>
          <w:lang w:eastAsia="en-US"/>
        </w:rPr>
      </w:pPr>
      <w:r w:rsidRPr="00C20675">
        <w:rPr>
          <w:rFonts w:eastAsia="Calibri" w:cs="Arial"/>
          <w:b/>
          <w:szCs w:val="22"/>
          <w:lang w:eastAsia="en-US"/>
        </w:rPr>
        <w:t>Schaden- und Unfallversicherung steigert Bruttobeiträge und verbessert Schaden-/Kostenquote weiter</w:t>
      </w:r>
      <w:r w:rsidR="00834FA5">
        <w:rPr>
          <w:rFonts w:eastAsia="Calibri" w:cs="Arial"/>
          <w:b/>
          <w:szCs w:val="22"/>
          <w:lang w:eastAsia="en-US"/>
        </w:rPr>
        <w:t>.</w:t>
      </w:r>
      <w:r w:rsidRPr="00C20675">
        <w:rPr>
          <w:rFonts w:eastAsia="Calibri" w:cs="Arial"/>
          <w:b/>
          <w:szCs w:val="22"/>
          <w:lang w:eastAsia="en-US"/>
        </w:rPr>
        <w:t xml:space="preserve"> </w:t>
      </w:r>
    </w:p>
    <w:p w:rsidR="00C20675" w:rsidRPr="00C20675" w:rsidRDefault="00C20675" w:rsidP="00CE500F">
      <w:pPr>
        <w:pStyle w:val="Listenabsatz"/>
        <w:numPr>
          <w:ilvl w:val="0"/>
          <w:numId w:val="3"/>
        </w:numPr>
        <w:spacing w:after="180" w:line="310" w:lineRule="exact"/>
        <w:ind w:left="851" w:hanging="851"/>
        <w:rPr>
          <w:rFonts w:eastAsia="Calibri" w:cs="Arial"/>
          <w:b/>
          <w:szCs w:val="22"/>
          <w:lang w:eastAsia="en-US"/>
        </w:rPr>
      </w:pPr>
      <w:r w:rsidRPr="00C20675">
        <w:rPr>
          <w:rFonts w:eastAsia="Calibri" w:cs="Arial"/>
          <w:b/>
          <w:szCs w:val="22"/>
          <w:lang w:eastAsia="en-US"/>
        </w:rPr>
        <w:t>Programm W&amp;W@2020: Neue digitale Angebote stoßen auf eine gute Kundenresonanz</w:t>
      </w:r>
      <w:r w:rsidR="00F666BE">
        <w:rPr>
          <w:rFonts w:eastAsia="Calibri" w:cs="Arial"/>
          <w:b/>
          <w:szCs w:val="22"/>
          <w:lang w:eastAsia="en-US"/>
        </w:rPr>
        <w:t>.</w:t>
      </w:r>
    </w:p>
    <w:p w:rsidR="001651E9" w:rsidRPr="00C20675" w:rsidRDefault="00C20675" w:rsidP="00CE500F">
      <w:pPr>
        <w:pStyle w:val="Listenabsatz"/>
        <w:numPr>
          <w:ilvl w:val="0"/>
          <w:numId w:val="3"/>
        </w:numPr>
        <w:spacing w:after="180" w:line="310" w:lineRule="exact"/>
        <w:ind w:left="851" w:hanging="851"/>
        <w:rPr>
          <w:rFonts w:eastAsia="Calibri" w:cs="Arial"/>
          <w:b/>
          <w:szCs w:val="22"/>
          <w:lang w:eastAsia="en-US"/>
        </w:rPr>
      </w:pPr>
      <w:r w:rsidRPr="00C20675">
        <w:rPr>
          <w:rFonts w:eastAsia="Calibri" w:cs="Arial"/>
          <w:b/>
          <w:szCs w:val="22"/>
          <w:lang w:eastAsia="en-US"/>
        </w:rPr>
        <w:t xml:space="preserve">Vorstandsvorsitzender Jürgen A. Junker: „Die W&amp;W-Gruppe hat große Potenziale, </w:t>
      </w:r>
      <w:r w:rsidR="009C552F">
        <w:rPr>
          <w:rFonts w:eastAsia="Calibri" w:cs="Arial"/>
          <w:b/>
          <w:szCs w:val="22"/>
          <w:lang w:eastAsia="en-US"/>
        </w:rPr>
        <w:t xml:space="preserve">wenn wir sowohl unsere traditionellen Vertriebswege als auch die </w:t>
      </w:r>
      <w:r w:rsidRPr="00C20675">
        <w:rPr>
          <w:rFonts w:eastAsia="Calibri" w:cs="Arial"/>
          <w:b/>
          <w:szCs w:val="22"/>
          <w:lang w:eastAsia="en-US"/>
        </w:rPr>
        <w:t>Chancen der Digitalisierung konsequent nutzen</w:t>
      </w:r>
      <w:r w:rsidR="009F1708">
        <w:rPr>
          <w:rFonts w:eastAsia="Calibri" w:cs="Arial"/>
          <w:b/>
          <w:szCs w:val="22"/>
          <w:lang w:eastAsia="en-US"/>
        </w:rPr>
        <w:t>.</w:t>
      </w:r>
      <w:r w:rsidRPr="00C20675">
        <w:rPr>
          <w:rFonts w:eastAsia="Calibri" w:cs="Arial"/>
          <w:b/>
          <w:szCs w:val="22"/>
          <w:lang w:eastAsia="en-US"/>
        </w:rPr>
        <w:t>“</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t>Die Wüstenrot &amp; Württembergische-Gruppe (W&amp;W) hat im Geschäftsjahr 2016 trotz eines anhaltend schwierigen Marktumfelds gute Resultate verzeichnet. Der Vorsorge-Spezialist erreichte im vergangenen Jahr einen Konzernüberschuss von 235,3 Millionen Euro. Damit wurde der Prognosewert von mindestens 220 Millionen Euro gut erreicht. In ihren Geschäftsfeldern, nicht zuletzt im Bauspargeschäft, entwickelte sich das Neugeschäft zumeist besser als im Branchentrend. Neue Produkte und Services, vor allem durch den forcierten Ausbau der Digitalangebote, stoßen auf eine positive Resonanz bei den Kunden. Für das Jahr 2017 geht der W&amp;W-Konzern von einem weiteren Wachstum im Neugeschäft bei anhaltend hohen Investitionen in die Digitalisierung aus.</w:t>
      </w:r>
    </w:p>
    <w:p w:rsidR="00C20675" w:rsidRPr="009C552F" w:rsidRDefault="00C20675" w:rsidP="001F29DA">
      <w:pPr>
        <w:spacing w:after="180" w:line="300" w:lineRule="exact"/>
        <w:rPr>
          <w:rFonts w:eastAsia="Calibri" w:cs="Arial"/>
          <w:i/>
          <w:szCs w:val="22"/>
          <w:lang w:eastAsia="en-US"/>
        </w:rPr>
      </w:pPr>
      <w:r w:rsidRPr="009C552F">
        <w:rPr>
          <w:rFonts w:eastAsia="Calibri" w:cs="Arial"/>
          <w:i/>
          <w:szCs w:val="22"/>
          <w:lang w:eastAsia="en-US"/>
        </w:rPr>
        <w:t>„Die Ergebnisse des Jahres 2016 können sich angesichts anhaltend niedriger Zinsen,</w:t>
      </w:r>
      <w:r w:rsidR="002030D4">
        <w:rPr>
          <w:rFonts w:eastAsia="Calibri" w:cs="Arial"/>
          <w:i/>
          <w:szCs w:val="22"/>
          <w:lang w:eastAsia="en-US"/>
        </w:rPr>
        <w:t xml:space="preserve"> </w:t>
      </w:r>
      <w:r w:rsidRPr="009C552F">
        <w:rPr>
          <w:rFonts w:eastAsia="Calibri" w:cs="Arial"/>
          <w:i/>
          <w:szCs w:val="22"/>
          <w:lang w:eastAsia="en-US"/>
        </w:rPr>
        <w:t>veränderter Kundenanforderungen und stetig wachsender Regulatorik mehr als sehen lassen“, sagt Jürgen A. Junker, seit 1. Januar 2017 Vorstandsvorsitzender der W&amp;W AG.</w:t>
      </w:r>
      <w:r w:rsidR="009C552F">
        <w:rPr>
          <w:rFonts w:eastAsia="Calibri" w:cs="Arial"/>
          <w:i/>
          <w:szCs w:val="22"/>
          <w:lang w:eastAsia="en-US"/>
        </w:rPr>
        <w:t xml:space="preserve"> Dazu beigetragen haben alle Produktsparten und alle Vertriebskanäle – von den beiden Ausschließlichkeitsorganisationen über die  Kooperationen und Makler bis hin zum Direktvertrieb. Junker weiter: </w:t>
      </w:r>
      <w:r w:rsidRPr="009C552F">
        <w:rPr>
          <w:rFonts w:eastAsia="Calibri" w:cs="Arial"/>
          <w:i/>
          <w:szCs w:val="22"/>
          <w:lang w:eastAsia="en-US"/>
        </w:rPr>
        <w:t xml:space="preserve"> „Wir dürfen </w:t>
      </w:r>
      <w:r w:rsidR="009C552F">
        <w:rPr>
          <w:rFonts w:eastAsia="Calibri" w:cs="Arial"/>
          <w:i/>
          <w:szCs w:val="22"/>
          <w:lang w:eastAsia="en-US"/>
        </w:rPr>
        <w:t xml:space="preserve">bei dem Erreichten </w:t>
      </w:r>
      <w:r w:rsidRPr="009C552F">
        <w:rPr>
          <w:rFonts w:eastAsia="Calibri" w:cs="Arial"/>
          <w:i/>
          <w:szCs w:val="22"/>
          <w:lang w:eastAsia="en-US"/>
        </w:rPr>
        <w:t xml:space="preserve">jedoch nicht stehenbleiben. Unser Fokus wird in den kommenden Jahren stark auf der Frage liegen, mit welchen Produkten und auf welchen Wegen wir unsere bestehenden Kunden und potenzielle </w:t>
      </w:r>
      <w:r w:rsidRPr="009C552F">
        <w:rPr>
          <w:rFonts w:eastAsia="Calibri" w:cs="Arial"/>
          <w:i/>
          <w:szCs w:val="22"/>
          <w:lang w:eastAsia="en-US"/>
        </w:rPr>
        <w:lastRenderedPageBreak/>
        <w:t>Neukunden bestmöglich erreichen.</w:t>
      </w:r>
      <w:r w:rsidR="009C552F">
        <w:rPr>
          <w:rFonts w:eastAsia="Calibri" w:cs="Arial"/>
          <w:i/>
          <w:szCs w:val="22"/>
          <w:lang w:eastAsia="en-US"/>
        </w:rPr>
        <w:t xml:space="preserve"> Dabei spielen unsere erfolgreichen, traditionellen Vertriebswege genauso eine Rolle wie digitale Ansätze, in die wir in den kommenden drei Jahren rund 100 Millionen Euro investieren möchten. Das Ziel ist, unsere Gruppe </w:t>
      </w:r>
      <w:r w:rsidRPr="009C552F">
        <w:rPr>
          <w:rFonts w:eastAsia="Calibri" w:cs="Arial"/>
          <w:i/>
          <w:szCs w:val="22"/>
          <w:lang w:eastAsia="en-US"/>
        </w:rPr>
        <w:t xml:space="preserve">als moderne Plattform rund um die Themen Vorsorge, Wohnen und Vermögensbildung </w:t>
      </w:r>
      <w:r w:rsidR="00A5004F">
        <w:rPr>
          <w:rFonts w:eastAsia="Calibri" w:cs="Arial"/>
          <w:i/>
          <w:szCs w:val="22"/>
          <w:lang w:eastAsia="en-US"/>
        </w:rPr>
        <w:t xml:space="preserve">zu </w:t>
      </w:r>
      <w:r w:rsidRPr="009C552F">
        <w:rPr>
          <w:rFonts w:eastAsia="Calibri" w:cs="Arial"/>
          <w:i/>
          <w:szCs w:val="22"/>
          <w:lang w:eastAsia="en-US"/>
        </w:rPr>
        <w:t>etablieren.“</w:t>
      </w:r>
    </w:p>
    <w:p w:rsidR="00C20675" w:rsidRPr="004F6C7B" w:rsidRDefault="00C20675" w:rsidP="001F29DA">
      <w:pPr>
        <w:spacing w:after="180" w:line="300" w:lineRule="exact"/>
        <w:rPr>
          <w:rFonts w:eastAsia="Calibri" w:cs="Arial"/>
          <w:b/>
          <w:szCs w:val="22"/>
          <w:lang w:eastAsia="en-US"/>
        </w:rPr>
      </w:pPr>
      <w:r w:rsidRPr="004F6C7B">
        <w:rPr>
          <w:rFonts w:eastAsia="Calibri" w:cs="Arial"/>
          <w:b/>
          <w:szCs w:val="22"/>
          <w:lang w:eastAsia="en-US"/>
        </w:rPr>
        <w:t>Wichtige Konzern-Kennzahlen 2016</w:t>
      </w:r>
    </w:p>
    <w:p w:rsidR="00C20675" w:rsidRPr="004F6C7B" w:rsidRDefault="00C20675" w:rsidP="001F29DA">
      <w:pPr>
        <w:pStyle w:val="Listenabsatz"/>
        <w:numPr>
          <w:ilvl w:val="0"/>
          <w:numId w:val="3"/>
        </w:numPr>
        <w:spacing w:after="180" w:line="300" w:lineRule="exact"/>
        <w:ind w:left="851" w:hanging="851"/>
        <w:rPr>
          <w:rFonts w:eastAsia="Calibri" w:cs="Arial"/>
          <w:szCs w:val="22"/>
          <w:lang w:eastAsia="en-US"/>
        </w:rPr>
      </w:pPr>
      <w:r w:rsidRPr="004F6C7B">
        <w:rPr>
          <w:rFonts w:eastAsia="Calibri" w:cs="Arial"/>
          <w:szCs w:val="22"/>
          <w:lang w:eastAsia="en-US"/>
        </w:rPr>
        <w:t xml:space="preserve">Der Konzernüberschuss nach Steuern erreichte 235,3 Millionen Euro. Er lag damit plangemäß unter dem Rekordwert des Vorjahres von 274,3 Millionen Euro, aber über den eigenen Erwartungen. </w:t>
      </w:r>
    </w:p>
    <w:p w:rsidR="00C20675" w:rsidRPr="004F6C7B" w:rsidRDefault="00C20675" w:rsidP="001F29DA">
      <w:pPr>
        <w:pStyle w:val="Listenabsatz"/>
        <w:numPr>
          <w:ilvl w:val="0"/>
          <w:numId w:val="3"/>
        </w:numPr>
        <w:spacing w:after="180" w:line="300" w:lineRule="exact"/>
        <w:ind w:left="851" w:hanging="851"/>
        <w:rPr>
          <w:rFonts w:eastAsia="Calibri" w:cs="Arial"/>
          <w:szCs w:val="22"/>
          <w:lang w:eastAsia="en-US"/>
        </w:rPr>
      </w:pPr>
      <w:r w:rsidRPr="004F6C7B">
        <w:rPr>
          <w:rFonts w:eastAsia="Calibri" w:cs="Arial"/>
          <w:szCs w:val="22"/>
          <w:lang w:eastAsia="en-US"/>
        </w:rPr>
        <w:t>Den größten Ergebnisbeitrag mit 108,3 Millionen Euro (2015: 114,9 Millionen Euro) lieferte wie im Jahr zuvor das Segment Schaden-/Unfallversicherung, das von einem verbesserten versicherungstechnischen Ergebnis als Folge einer nachhaltigen und risikobewussten Zeichnungspolitik profitierte.</w:t>
      </w:r>
    </w:p>
    <w:p w:rsidR="00C20675" w:rsidRPr="004F6C7B" w:rsidRDefault="004F6C7B" w:rsidP="001F29DA">
      <w:pPr>
        <w:pStyle w:val="Listenabsatz"/>
        <w:numPr>
          <w:ilvl w:val="0"/>
          <w:numId w:val="3"/>
        </w:numPr>
        <w:spacing w:after="180" w:line="300" w:lineRule="exact"/>
        <w:ind w:left="851" w:hanging="851"/>
        <w:rPr>
          <w:rFonts w:eastAsia="Calibri" w:cs="Arial"/>
          <w:szCs w:val="22"/>
          <w:lang w:eastAsia="en-US"/>
        </w:rPr>
      </w:pPr>
      <w:r w:rsidRPr="004F6C7B">
        <w:rPr>
          <w:rFonts w:eastAsia="Calibri" w:cs="Arial"/>
          <w:szCs w:val="22"/>
          <w:lang w:eastAsia="en-US"/>
        </w:rPr>
        <w:t>D</w:t>
      </w:r>
      <w:r w:rsidR="00C20675" w:rsidRPr="004F6C7B">
        <w:rPr>
          <w:rFonts w:eastAsia="Calibri" w:cs="Arial"/>
          <w:szCs w:val="22"/>
          <w:lang w:eastAsia="en-US"/>
        </w:rPr>
        <w:t xml:space="preserve">ie Segmente BausparBank und Personenversicherung weisen im Vergleich zu 2015 jeweils höhere Gewinnbeiträge für 2016 aus. </w:t>
      </w:r>
    </w:p>
    <w:p w:rsidR="00C20675" w:rsidRPr="004F6C7B" w:rsidRDefault="00C20675" w:rsidP="001F29DA">
      <w:pPr>
        <w:pStyle w:val="Listenabsatz"/>
        <w:numPr>
          <w:ilvl w:val="0"/>
          <w:numId w:val="3"/>
        </w:numPr>
        <w:spacing w:after="180" w:line="300" w:lineRule="exact"/>
        <w:ind w:left="851" w:hanging="851"/>
        <w:rPr>
          <w:rFonts w:eastAsia="Calibri" w:cs="Arial"/>
          <w:szCs w:val="22"/>
          <w:lang w:eastAsia="en-US"/>
        </w:rPr>
      </w:pPr>
      <w:r w:rsidRPr="004F6C7B">
        <w:rPr>
          <w:rFonts w:eastAsia="Calibri" w:cs="Arial"/>
          <w:szCs w:val="22"/>
          <w:lang w:eastAsia="en-US"/>
        </w:rPr>
        <w:t>Das Finanzergebnis lag, wesentlich bedingt durch das Niedrigzinsumfeld, mit 1,82</w:t>
      </w:r>
      <w:r w:rsidR="009F1708">
        <w:rPr>
          <w:rFonts w:eastAsia="Calibri" w:cs="Arial"/>
          <w:szCs w:val="22"/>
          <w:lang w:eastAsia="en-US"/>
        </w:rPr>
        <w:t> </w:t>
      </w:r>
      <w:r w:rsidRPr="004F6C7B">
        <w:rPr>
          <w:rFonts w:eastAsia="Calibri" w:cs="Arial"/>
          <w:szCs w:val="22"/>
          <w:lang w:eastAsia="en-US"/>
        </w:rPr>
        <w:t xml:space="preserve">Milliarden Euro unter dem Vorjahreswert von 2,03 Milliarden Euro. </w:t>
      </w:r>
    </w:p>
    <w:p w:rsidR="00C20675" w:rsidRPr="004F6C7B" w:rsidRDefault="00C20675" w:rsidP="001F29DA">
      <w:pPr>
        <w:pStyle w:val="Listenabsatz"/>
        <w:numPr>
          <w:ilvl w:val="0"/>
          <w:numId w:val="3"/>
        </w:numPr>
        <w:spacing w:after="180" w:line="300" w:lineRule="exact"/>
        <w:ind w:left="851" w:hanging="851"/>
        <w:rPr>
          <w:rFonts w:eastAsia="Calibri" w:cs="Arial"/>
          <w:szCs w:val="22"/>
          <w:lang w:eastAsia="en-US"/>
        </w:rPr>
      </w:pPr>
      <w:r w:rsidRPr="004F6C7B">
        <w:rPr>
          <w:rFonts w:eastAsia="Calibri" w:cs="Arial"/>
          <w:szCs w:val="22"/>
          <w:lang w:eastAsia="en-US"/>
        </w:rPr>
        <w:t>Die Verwaltungsaufwendungen konnten, trotz höherer Beiträge zur Einlagensicherung und hoher IT-Investitionen, durch konsequentes Kostenmanagement um rund 3 Prozent auf knapp 1,08 Milliarden Euro verringert werden.</w:t>
      </w:r>
    </w:p>
    <w:p w:rsidR="00C20675" w:rsidRPr="004F6C7B" w:rsidRDefault="00C20675" w:rsidP="001F29DA">
      <w:pPr>
        <w:spacing w:after="180" w:line="300" w:lineRule="exact"/>
        <w:rPr>
          <w:rFonts w:eastAsia="Calibri" w:cs="Arial"/>
          <w:b/>
          <w:szCs w:val="22"/>
          <w:lang w:eastAsia="en-US"/>
        </w:rPr>
      </w:pPr>
      <w:r w:rsidRPr="004F6C7B">
        <w:rPr>
          <w:rFonts w:eastAsia="Calibri" w:cs="Arial"/>
          <w:b/>
          <w:szCs w:val="22"/>
          <w:lang w:eastAsia="en-US"/>
        </w:rPr>
        <w:t>Stabile Dividende geplant</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t>Vorstand und Aufsichtsrat schlagen der ordentlichen Hauptversammlung am 1. Juni 2017 vor, für das Geschäftsjahr 2016 eine gegenüber dem Vorjahr stabile Dividende von 60</w:t>
      </w:r>
      <w:r w:rsidR="00945585">
        <w:rPr>
          <w:rFonts w:eastAsia="Calibri" w:cs="Arial"/>
          <w:szCs w:val="22"/>
          <w:lang w:eastAsia="en-US"/>
        </w:rPr>
        <w:t> </w:t>
      </w:r>
      <w:r w:rsidRPr="00C20675">
        <w:rPr>
          <w:rFonts w:eastAsia="Calibri" w:cs="Arial"/>
          <w:szCs w:val="22"/>
          <w:lang w:eastAsia="en-US"/>
        </w:rPr>
        <w:t>Eurocent je W&amp;W-Aktie zu zahlen. Damit kämen rund 56 Millionen Euro zur Ausschüttung. Auf Basis des Jahresschlusskurses der seit 21. März 2016 im SDAX notierten Aktie errechnet sich eine attraktive Dividendenrendite von 3,2 Prozent.</w:t>
      </w:r>
    </w:p>
    <w:p w:rsidR="00C20675" w:rsidRPr="004F6C7B" w:rsidRDefault="00C20675" w:rsidP="001F29DA">
      <w:pPr>
        <w:spacing w:after="180" w:line="300" w:lineRule="exact"/>
        <w:rPr>
          <w:rFonts w:eastAsia="Calibri" w:cs="Arial"/>
          <w:b/>
          <w:szCs w:val="22"/>
          <w:lang w:eastAsia="en-US"/>
        </w:rPr>
      </w:pPr>
      <w:r w:rsidRPr="004F6C7B">
        <w:rPr>
          <w:rFonts w:eastAsia="Calibri" w:cs="Arial"/>
          <w:b/>
          <w:szCs w:val="22"/>
          <w:lang w:eastAsia="en-US"/>
        </w:rPr>
        <w:t>Entwicklung der Geschäftsfelder 2016</w:t>
      </w:r>
    </w:p>
    <w:p w:rsidR="00C20675" w:rsidRPr="00997A7C" w:rsidRDefault="00C20675" w:rsidP="001F29DA">
      <w:pPr>
        <w:spacing w:after="180" w:line="300" w:lineRule="exact"/>
        <w:rPr>
          <w:rFonts w:eastAsia="Calibri" w:cs="Arial"/>
          <w:b/>
          <w:szCs w:val="22"/>
          <w:lang w:eastAsia="en-US"/>
        </w:rPr>
      </w:pPr>
      <w:r w:rsidRPr="00997A7C">
        <w:rPr>
          <w:rFonts w:eastAsia="Calibri" w:cs="Arial"/>
          <w:b/>
          <w:szCs w:val="22"/>
          <w:lang w:eastAsia="en-US"/>
        </w:rPr>
        <w:t>BausparBank</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t xml:space="preserve">Die Wüstenrot Bausparkasse erreichte 2016 eine Steigerung im Netto-Neugeschäft um knapp 2 Prozent auf 11,9 Milliarden Euro. Dieses Wachstum fand gegen den Markttrend statt, denn branchenweit sank die Bausparsumme im Netto-Neugeschäft um 9 Prozent. Somit konnte die Wüstenrot Bausparkasse ihren Marktanteil deutlich ausbauen und den zweiten Platz in der Branche festigen. Erfolgstreiber war das im Februar 2016 eingeführte Wüstenrot Wohnsparen, welches das traditionelle Bausparen zukunftsorientiert weiterentwickelt. Auch das vielfach ausgezeichnete Riester-Angebot der Bausparkasse (Wüstenrot Wohn-Riester) profitiert von der guten Entwicklung des Wüstenrot Wohnsparens. Das Brutto-Neugeschäft betrug 13,6 Milliarden Euro (Vorjahr: 14,1 Milliarden Euro). </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lastRenderedPageBreak/>
        <w:t xml:space="preserve">In der Baufinanzierung lag das Neugeschäft konzernweit mit knapp 5,4 Milliarden Euro an vermittelten Krediten um 1,6 Prozent unter dem Vorjahreswert, wobei Wüstenrot damit besser als der Branchentrend abschnitt (- 4 Prozent). </w:t>
      </w:r>
    </w:p>
    <w:p w:rsidR="00C20675" w:rsidRPr="00997A7C" w:rsidRDefault="00C20675" w:rsidP="001F29DA">
      <w:pPr>
        <w:spacing w:after="180" w:line="300" w:lineRule="exact"/>
        <w:rPr>
          <w:rFonts w:eastAsia="Calibri" w:cs="Arial"/>
          <w:b/>
          <w:szCs w:val="22"/>
          <w:lang w:eastAsia="en-US"/>
        </w:rPr>
      </w:pPr>
      <w:r w:rsidRPr="00997A7C">
        <w:rPr>
          <w:rFonts w:eastAsia="Calibri" w:cs="Arial"/>
          <w:b/>
          <w:szCs w:val="22"/>
          <w:lang w:eastAsia="en-US"/>
        </w:rPr>
        <w:t>Versicherung</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t>In der Schaden- und Unfallversicherung legten die gebuchten Bruttobeiträge weiter um 2,4</w:t>
      </w:r>
      <w:r w:rsidR="00502253">
        <w:rPr>
          <w:rFonts w:eastAsia="Calibri" w:cs="Arial"/>
          <w:szCs w:val="22"/>
          <w:lang w:eastAsia="en-US"/>
        </w:rPr>
        <w:t> </w:t>
      </w:r>
      <w:r w:rsidRPr="00C20675">
        <w:rPr>
          <w:rFonts w:eastAsia="Calibri" w:cs="Arial"/>
          <w:szCs w:val="22"/>
          <w:lang w:eastAsia="en-US"/>
        </w:rPr>
        <w:t>Prozent auf 1,68 Milliarden Euro zu. Das Neugeschäft erreichte mit 207,9 Millionen Euro nahezu den Vorjahreswert (- 0,9 Prozent). Im Privatkundenbereich brachte die Württembergische Versicherung neue modulare Tarife für Unfall, Hausrat und Wohngebäude auf den Markt. Das Wachstum im Geschäftssegment Firmenkunden trug das Kernprodukt „Firmen-Police“, dessen Leistungsspektrum weiter ausgebaut wurde, zum Beispiel durch den Einschluss von Photovoltaikanlagen bei gewerblich genutzten Gebäuden. Die vorsichtige Zeichnungspolitik und die in der Folge erfreuliche Ertragsentwicklung führten 2016 zur weiteren Verbesserung der Brutto-Schaden-/Kostenquote auf 90,1 Prozent (Vorjahr: 92,1</w:t>
      </w:r>
      <w:r w:rsidR="00502253">
        <w:rPr>
          <w:rFonts w:eastAsia="Calibri" w:cs="Arial"/>
          <w:szCs w:val="22"/>
          <w:lang w:eastAsia="en-US"/>
        </w:rPr>
        <w:t> </w:t>
      </w:r>
      <w:r w:rsidRPr="00C20675">
        <w:rPr>
          <w:rFonts w:eastAsia="Calibri" w:cs="Arial"/>
          <w:szCs w:val="22"/>
          <w:lang w:eastAsia="en-US"/>
        </w:rPr>
        <w:t>Prozent; 2014: 95,5 Prozent).</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t xml:space="preserve">In der Lebensversicherung sanken die gebuchten Bruttobeiträge um 3,5 Prozent auf rund 2,10 Milliarden Euro. Das Minus ist auf das rückläufige Neugeschäft im allgemein schrumpfenden Markt sowie auf Abläufe im Bestand zurückzuführen. Die Württembergische Lebensversicherung erweiterte vergangenes Jahr ihr Produktangebot um neue, optimierte Risikolebensversicherungs-Tarife in den Varianten Premium-, Kompakt- sowie Kombi-Schutz. Kompakt und Premium sind seit Oktober 2016 auch online abschließbar. </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t>In der Krankenversicherung erhöhten sich die gebuchten Bruttobeiträge 2016 um mehr als 9</w:t>
      </w:r>
      <w:r w:rsidR="00F4482D">
        <w:rPr>
          <w:rFonts w:eastAsia="Calibri" w:cs="Arial"/>
          <w:szCs w:val="22"/>
          <w:lang w:eastAsia="en-US"/>
        </w:rPr>
        <w:t> </w:t>
      </w:r>
      <w:r w:rsidRPr="00C20675">
        <w:rPr>
          <w:rFonts w:eastAsia="Calibri" w:cs="Arial"/>
          <w:szCs w:val="22"/>
          <w:lang w:eastAsia="en-US"/>
        </w:rPr>
        <w:t>Prozent auf gut 216 Millionen Euro. Dieses erfreuliche Wachstum ist wesentlich auf den Erfolg der Krankenzusatz- und Pflegetarife der Württembergischen Krankenversicherung zurückzuführen, die in Produkttests immer wieder Auszeichnungen erhalten.</w:t>
      </w:r>
    </w:p>
    <w:p w:rsidR="00C20675" w:rsidRPr="00997A7C" w:rsidRDefault="00C20675" w:rsidP="001F29DA">
      <w:pPr>
        <w:spacing w:after="180" w:line="300" w:lineRule="exact"/>
        <w:rPr>
          <w:rFonts w:eastAsia="Calibri" w:cs="Arial"/>
          <w:b/>
          <w:szCs w:val="22"/>
          <w:lang w:eastAsia="en-US"/>
        </w:rPr>
      </w:pPr>
      <w:r w:rsidRPr="00997A7C">
        <w:rPr>
          <w:rFonts w:eastAsia="Calibri" w:cs="Arial"/>
          <w:b/>
          <w:szCs w:val="22"/>
          <w:lang w:eastAsia="en-US"/>
        </w:rPr>
        <w:t>Digitale Produktinnovationen auf dem Vormarsch</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t xml:space="preserve">Die W&amp;W-Gruppe hat im vergangenen Jahr ihre digitalen Angebote im Rahmen des Programms „W&amp;W@2020“ ausgebaut. Sie ergänzen damit die erfolgreichen klassischen Vertriebswege des eigenen Außendienstes und der Kooperationspartner. Nachdem das Baufinanzierungsgeschäft zentral bei der Wüstenrot Bausparkasse gebündelt wird, konzentriert sich die Wüstenrot Bank AG ganz auf ihre Rolle als Digital-Bank für Privatkunden mit einem attraktiven, online zugänglichen Produktangebot im Konten-, Karten- und Wertpapiergeschäft. </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t xml:space="preserve">Bereits </w:t>
      </w:r>
      <w:r w:rsidR="00D14D9A">
        <w:rPr>
          <w:rFonts w:eastAsia="Calibri" w:cs="Arial"/>
          <w:szCs w:val="22"/>
          <w:lang w:eastAsia="en-US"/>
        </w:rPr>
        <w:t>mehr als 2.000</w:t>
      </w:r>
      <w:r w:rsidRPr="00C20675">
        <w:rPr>
          <w:rFonts w:eastAsia="Calibri" w:cs="Arial"/>
          <w:szCs w:val="22"/>
          <w:lang w:eastAsia="en-US"/>
        </w:rPr>
        <w:t xml:space="preserve"> Mal nahmen W&amp;W-Kunden im Jahr 2016 eine Video-Beratung in Anspruch. Dabei sind sie in der Regel bei ihrem Berater vor Ort, um Ablaufleistungen wieder</w:t>
      </w:r>
      <w:r w:rsidR="00F356C0">
        <w:rPr>
          <w:rFonts w:eastAsia="Calibri" w:cs="Arial"/>
          <w:szCs w:val="22"/>
          <w:lang w:eastAsia="en-US"/>
        </w:rPr>
        <w:t xml:space="preserve"> </w:t>
      </w:r>
      <w:r w:rsidRPr="00C20675">
        <w:rPr>
          <w:rFonts w:eastAsia="Calibri" w:cs="Arial"/>
          <w:szCs w:val="22"/>
          <w:lang w:eastAsia="en-US"/>
        </w:rPr>
        <w:t>anzulegen, und lassen einen Investment-Berater der Wüstenrot Bank einfach per Skype zuschalten. Die Umwandlungsquote aus solchen Videoberatungen liegt nahe 60</w:t>
      </w:r>
      <w:r w:rsidR="00F4482D">
        <w:rPr>
          <w:rFonts w:eastAsia="Calibri" w:cs="Arial"/>
          <w:szCs w:val="22"/>
          <w:lang w:eastAsia="en-US"/>
        </w:rPr>
        <w:t> </w:t>
      </w:r>
      <w:r w:rsidRPr="00C20675">
        <w:rPr>
          <w:rFonts w:eastAsia="Calibri" w:cs="Arial"/>
          <w:szCs w:val="22"/>
          <w:lang w:eastAsia="en-US"/>
        </w:rPr>
        <w:t xml:space="preserve">Prozent. </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t xml:space="preserve">Im Herbst 2016 führte die Wüstenrot Bank die </w:t>
      </w:r>
      <w:r w:rsidR="00E1646A">
        <w:rPr>
          <w:rFonts w:eastAsia="Calibri" w:cs="Arial"/>
          <w:szCs w:val="22"/>
          <w:lang w:eastAsia="en-US"/>
        </w:rPr>
        <w:t>c</w:t>
      </w:r>
      <w:r w:rsidRPr="00C20675">
        <w:rPr>
          <w:rFonts w:eastAsia="Calibri" w:cs="Arial"/>
          <w:szCs w:val="22"/>
          <w:lang w:eastAsia="en-US"/>
        </w:rPr>
        <w:t xml:space="preserve">omputergestützte Beratungstechnik ein (Robo-Advising). So optimiert beim „Wüstenrot ETF Managed Depot" eine automatisierte </w:t>
      </w:r>
      <w:r w:rsidRPr="00C20675">
        <w:rPr>
          <w:rFonts w:eastAsia="Calibri" w:cs="Arial"/>
          <w:szCs w:val="22"/>
          <w:lang w:eastAsia="en-US"/>
        </w:rPr>
        <w:lastRenderedPageBreak/>
        <w:t>Fondsverwaltung die vom Kunden gewählte Anlagestrategie permanent. In der Folge stieg unser Brutto-Fondsabsatz im Retail-Geschäft um mehr als 7 Prozent auf 381 Millionen Euro. Die Zahl der Kundendepots kletterte um mehr als 5 Prozent auf fast 79.000.</w:t>
      </w:r>
    </w:p>
    <w:p w:rsidR="00C20675" w:rsidRPr="00780896" w:rsidRDefault="00780896" w:rsidP="001F29DA">
      <w:pPr>
        <w:spacing w:after="180" w:line="300" w:lineRule="exact"/>
        <w:rPr>
          <w:rFonts w:eastAsia="Calibri" w:cs="Arial"/>
          <w:i/>
          <w:szCs w:val="22"/>
          <w:lang w:eastAsia="en-US"/>
        </w:rPr>
      </w:pPr>
      <w:r>
        <w:rPr>
          <w:rFonts w:eastAsia="Calibri" w:cs="Arial"/>
          <w:i/>
          <w:szCs w:val="22"/>
          <w:lang w:eastAsia="en-US"/>
        </w:rPr>
        <w:t>W&amp;W-</w:t>
      </w:r>
      <w:r w:rsidR="00C20675" w:rsidRPr="00780896">
        <w:rPr>
          <w:rFonts w:eastAsia="Calibri" w:cs="Arial"/>
          <w:i/>
          <w:szCs w:val="22"/>
          <w:lang w:eastAsia="en-US"/>
        </w:rPr>
        <w:t>Vorstands</w:t>
      </w:r>
      <w:r>
        <w:rPr>
          <w:rFonts w:eastAsia="Calibri" w:cs="Arial"/>
          <w:i/>
          <w:szCs w:val="22"/>
          <w:lang w:eastAsia="en-US"/>
        </w:rPr>
        <w:t>chef</w:t>
      </w:r>
      <w:r w:rsidR="00C20675" w:rsidRPr="00780896">
        <w:rPr>
          <w:rFonts w:eastAsia="Calibri" w:cs="Arial"/>
          <w:i/>
          <w:szCs w:val="22"/>
          <w:lang w:eastAsia="en-US"/>
        </w:rPr>
        <w:t xml:space="preserve"> Jürgen A</w:t>
      </w:r>
      <w:r w:rsidRPr="00780896">
        <w:rPr>
          <w:rFonts w:eastAsia="Calibri" w:cs="Arial"/>
          <w:i/>
          <w:szCs w:val="22"/>
          <w:lang w:eastAsia="en-US"/>
        </w:rPr>
        <w:t>.</w:t>
      </w:r>
      <w:r w:rsidR="00C20675" w:rsidRPr="00780896">
        <w:rPr>
          <w:rFonts w:eastAsia="Calibri" w:cs="Arial"/>
          <w:i/>
          <w:szCs w:val="22"/>
          <w:lang w:eastAsia="en-US"/>
        </w:rPr>
        <w:t xml:space="preserve"> Junker: „Das Einkaufsverhalten der Menschen ändert sich auch bei Finanzprodukten durch das Internet massiv. Generell wollen wir schneller und beweglicher werden, um </w:t>
      </w:r>
      <w:r>
        <w:rPr>
          <w:rFonts w:eastAsia="Calibri" w:cs="Arial"/>
          <w:i/>
          <w:szCs w:val="22"/>
          <w:lang w:eastAsia="en-US"/>
        </w:rPr>
        <w:t xml:space="preserve">sowohl </w:t>
      </w:r>
      <w:r w:rsidR="007A2B69">
        <w:rPr>
          <w:rFonts w:eastAsia="Calibri" w:cs="Arial"/>
          <w:i/>
          <w:szCs w:val="22"/>
          <w:lang w:eastAsia="en-US"/>
        </w:rPr>
        <w:t xml:space="preserve">die </w:t>
      </w:r>
      <w:r w:rsidR="00C20675" w:rsidRPr="00780896">
        <w:rPr>
          <w:rFonts w:eastAsia="Calibri" w:cs="Arial"/>
          <w:i/>
          <w:szCs w:val="22"/>
          <w:lang w:eastAsia="en-US"/>
        </w:rPr>
        <w:t xml:space="preserve">online-affine Zielgruppe als Neukunden zu gewinnen </w:t>
      </w:r>
      <w:r>
        <w:rPr>
          <w:rFonts w:eastAsia="Calibri" w:cs="Arial"/>
          <w:i/>
          <w:szCs w:val="22"/>
          <w:lang w:eastAsia="en-US"/>
        </w:rPr>
        <w:t xml:space="preserve">als auch die Erwartungen unserer </w:t>
      </w:r>
      <w:r w:rsidR="00C20675" w:rsidRPr="00780896">
        <w:rPr>
          <w:rFonts w:eastAsia="Calibri" w:cs="Arial"/>
          <w:i/>
          <w:szCs w:val="22"/>
          <w:lang w:eastAsia="en-US"/>
        </w:rPr>
        <w:t>Bestandskunden</w:t>
      </w:r>
      <w:r>
        <w:rPr>
          <w:rFonts w:eastAsia="Calibri" w:cs="Arial"/>
          <w:i/>
          <w:szCs w:val="22"/>
          <w:lang w:eastAsia="en-US"/>
        </w:rPr>
        <w:t xml:space="preserve">, die die hohe Qualität unserer Beratung schätzen, weiterhin </w:t>
      </w:r>
      <w:r w:rsidR="00C20675" w:rsidRPr="00780896">
        <w:rPr>
          <w:rFonts w:eastAsia="Calibri" w:cs="Arial"/>
          <w:i/>
          <w:szCs w:val="22"/>
          <w:lang w:eastAsia="en-US"/>
        </w:rPr>
        <w:t>zu erfüllen. Der W&amp;W-Konzern wird mit Nachdruck seine Zukunft positiv gestalten.“</w:t>
      </w:r>
    </w:p>
    <w:p w:rsidR="00C20675" w:rsidRPr="00997A7C" w:rsidRDefault="00C20675" w:rsidP="001F29DA">
      <w:pPr>
        <w:spacing w:after="180" w:line="300" w:lineRule="exact"/>
        <w:rPr>
          <w:rFonts w:eastAsia="Calibri" w:cs="Arial"/>
          <w:b/>
          <w:szCs w:val="22"/>
          <w:lang w:eastAsia="en-US"/>
        </w:rPr>
      </w:pPr>
      <w:r w:rsidRPr="00997A7C">
        <w:rPr>
          <w:rFonts w:eastAsia="Calibri" w:cs="Arial"/>
          <w:b/>
          <w:szCs w:val="22"/>
          <w:lang w:eastAsia="en-US"/>
        </w:rPr>
        <w:t xml:space="preserve">Ausblick auf das Geschäftsjahr 2017  </w:t>
      </w:r>
    </w:p>
    <w:p w:rsidR="00C20675" w:rsidRPr="00C20675" w:rsidRDefault="00C20675" w:rsidP="001F29DA">
      <w:pPr>
        <w:spacing w:after="180" w:line="300" w:lineRule="exact"/>
        <w:rPr>
          <w:rFonts w:eastAsia="Calibri" w:cs="Arial"/>
          <w:szCs w:val="22"/>
          <w:lang w:eastAsia="en-US"/>
        </w:rPr>
      </w:pPr>
      <w:r w:rsidRPr="00C20675">
        <w:rPr>
          <w:rFonts w:eastAsia="Calibri" w:cs="Arial"/>
          <w:szCs w:val="22"/>
          <w:lang w:eastAsia="en-US"/>
        </w:rPr>
        <w:t>Angesichts des anhaltenden Immobilienbooms in Deutschland rechnet Wüstenrot 2017 mit Wachstum beim Bausparen und der Baufinanzierung. Auch für die Entwicklungen im Versicherungsgeschäft ist die Württembergische grundsätzlich optimistisch. Die hohen Investitionen im Rahmen des „W&amp;W@2020“-Programms werden fortgeführt und sollen dazu beitragen, mittels aller Vertriebswege neue Kunden- und Marktsegmente zu erreichen und die Wachstumsstrategie der W&amp;W-Gruppe zu unterstützen.</w:t>
      </w:r>
    </w:p>
    <w:p w:rsidR="001651E9" w:rsidRDefault="00C20675" w:rsidP="001F29DA">
      <w:pPr>
        <w:spacing w:after="180" w:line="300" w:lineRule="exact"/>
        <w:rPr>
          <w:rFonts w:eastAsia="Calibri" w:cs="Arial"/>
          <w:szCs w:val="22"/>
          <w:lang w:eastAsia="en-US"/>
        </w:rPr>
      </w:pPr>
      <w:r w:rsidRPr="00C20675">
        <w:rPr>
          <w:rFonts w:eastAsia="Calibri" w:cs="Arial"/>
          <w:szCs w:val="22"/>
          <w:lang w:eastAsia="en-US"/>
        </w:rPr>
        <w:t>Vor diesem Hintergrund geht der Vorstand für das Jahr 2017 von einem Konzernüberschuss in der Größenordnung wie 2016 aus.</w:t>
      </w:r>
    </w:p>
    <w:p w:rsidR="00E9129B" w:rsidRDefault="00E9129B" w:rsidP="00FF2852">
      <w:pPr>
        <w:spacing w:after="120" w:line="300" w:lineRule="exact"/>
        <w:rPr>
          <w:rFonts w:eastAsia="Calibri" w:cs="Arial"/>
          <w:szCs w:val="22"/>
          <w:lang w:eastAsia="en-US"/>
        </w:rPr>
      </w:pPr>
    </w:p>
    <w:p w:rsidR="00A8143B" w:rsidRDefault="00A8143B" w:rsidP="00FF2852">
      <w:pPr>
        <w:spacing w:after="120" w:line="300" w:lineRule="exact"/>
        <w:rPr>
          <w:rFonts w:eastAsia="Calibri" w:cs="Arial"/>
          <w:szCs w:val="22"/>
          <w:lang w:eastAsia="en-US"/>
        </w:rPr>
      </w:pPr>
    </w:p>
    <w:p w:rsidR="00B938DD" w:rsidRDefault="00B938DD" w:rsidP="00FF2852">
      <w:pPr>
        <w:spacing w:after="120" w:line="300" w:lineRule="exact"/>
        <w:rPr>
          <w:rFonts w:eastAsia="Calibri" w:cs="Arial"/>
          <w:szCs w:val="22"/>
          <w:lang w:eastAsia="en-US"/>
        </w:rPr>
      </w:pPr>
      <w:r>
        <w:rPr>
          <w:rFonts w:eastAsia="Calibri" w:cs="Arial"/>
          <w:szCs w:val="22"/>
          <w:lang w:eastAsia="en-US"/>
        </w:rPr>
        <w:t xml:space="preserve">Fotomaterial finden Sie zum Download unter folgendem Link: </w:t>
      </w:r>
      <w:r>
        <w:rPr>
          <w:rFonts w:eastAsia="Calibri" w:cs="Arial"/>
          <w:szCs w:val="22"/>
          <w:lang w:eastAsia="en-US"/>
        </w:rPr>
        <w:br/>
      </w:r>
      <w:hyperlink r:id="rId10" w:history="1">
        <w:r w:rsidRPr="001D61B3">
          <w:rPr>
            <w:rStyle w:val="Hyperlink"/>
            <w:rFonts w:eastAsia="Calibri" w:cs="Arial"/>
            <w:szCs w:val="22"/>
            <w:lang w:eastAsia="en-US"/>
          </w:rPr>
          <w:t>http://www.ww-ag.com/de/ueber_uns/vorstand___aufsichtsrat/vorstand-und-aufsichtsrat.html</w:t>
        </w:r>
      </w:hyperlink>
    </w:p>
    <w:p w:rsidR="00A8143B" w:rsidRDefault="00A8143B" w:rsidP="00FF2852">
      <w:pPr>
        <w:spacing w:after="120" w:line="300" w:lineRule="exact"/>
        <w:rPr>
          <w:rFonts w:eastAsia="Calibri" w:cs="Arial"/>
          <w:szCs w:val="22"/>
          <w:lang w:eastAsia="en-US"/>
        </w:rPr>
      </w:pPr>
    </w:p>
    <w:p w:rsidR="00C6405A" w:rsidRPr="00E567D5" w:rsidRDefault="00C6405A" w:rsidP="00FF2852">
      <w:pPr>
        <w:autoSpaceDE w:val="0"/>
        <w:autoSpaceDN w:val="0"/>
        <w:adjustRightInd w:val="0"/>
        <w:spacing w:before="100" w:after="100" w:line="240" w:lineRule="exact"/>
        <w:rPr>
          <w:rFonts w:cs="Arial"/>
          <w:b/>
          <w:bCs/>
          <w:sz w:val="16"/>
          <w:szCs w:val="16"/>
        </w:rPr>
      </w:pPr>
      <w:r w:rsidRPr="00E567D5">
        <w:rPr>
          <w:rFonts w:cs="Arial"/>
          <w:b/>
          <w:bCs/>
          <w:sz w:val="16"/>
          <w:szCs w:val="16"/>
        </w:rPr>
        <w:t>Wüstenrot &amp; Württembergische – Der Vorsorge-Spezialist</w:t>
      </w:r>
    </w:p>
    <w:p w:rsidR="00CE500F" w:rsidRDefault="00C6405A" w:rsidP="00FF2852">
      <w:pPr>
        <w:autoSpaceDE w:val="0"/>
        <w:autoSpaceDN w:val="0"/>
        <w:adjustRightInd w:val="0"/>
        <w:spacing w:before="100" w:after="100" w:line="240" w:lineRule="exact"/>
        <w:rPr>
          <w:b/>
          <w:szCs w:val="22"/>
        </w:rPr>
      </w:pPr>
      <w:r w:rsidRPr="00E567D5">
        <w:rPr>
          <w:rFonts w:cs="Arial"/>
          <w:bCs/>
          <w:sz w:val="16"/>
          <w:szCs w:val="16"/>
        </w:rPr>
        <w:t xml:space="preserve">Die Wüstenrot &amp; Württembergische-Gruppe ist „Der Vorsorge-Spezialist" für die vier Bausteine moderner Vorsorge: Absicherung, Wohneigentum, Risikoschutz und Vermögensbildung. Im Jahr 1999 aus dem Zusammenschluss der Traditionsunternehmen Wüstenrot und Württembergische entstanden, verbindet der börsennotierte Konzern mit Sitz in Stuttgart die Geschäftsfelder BausparBank und Versicherung als gleichstarke Säulen und bietet auf diese Weise jedem Kunden die Vorsorgelösung, die zu ihm passt. Die rund sechs Millionen Kunden der W&amp;W-Gruppe schätzen die Service-Qualität, die Kompetenz und die Kundennähe des Vorsorge-Spezialisten, für den rund 13.000 Menschen arbeiten. Dank eines weiten Netzes aus Kooperations- und Partnervertrieben sowie Makler- und Direkt-Aktivitäten kann die W&amp;W-Gruppe mehr als 40 Millionen Menschen in Deutschland erreichen. Die W&amp;W-Gruppe </w:t>
      </w:r>
      <w:proofErr w:type="gramStart"/>
      <w:r w:rsidRPr="00E567D5">
        <w:rPr>
          <w:rFonts w:cs="Arial"/>
          <w:bCs/>
          <w:sz w:val="16"/>
          <w:szCs w:val="16"/>
        </w:rPr>
        <w:t>setzt</w:t>
      </w:r>
      <w:proofErr w:type="gramEnd"/>
      <w:r w:rsidRPr="00E567D5">
        <w:rPr>
          <w:rFonts w:cs="Arial"/>
          <w:bCs/>
          <w:sz w:val="16"/>
          <w:szCs w:val="16"/>
        </w:rPr>
        <w:t xml:space="preserve"> auch künftig auf Wachstum und hat sich bereits heute als größter unabhängiger und kundenstärkster Finanzdienstleister Baden-Württembergs etabliert.</w:t>
      </w:r>
      <w:r>
        <w:rPr>
          <w:rFonts w:cs="Arial"/>
          <w:color w:val="000000"/>
          <w:sz w:val="18"/>
          <w:szCs w:val="18"/>
        </w:rPr>
        <w:br w:type="textWrapping" w:clear="all"/>
      </w:r>
      <w:r w:rsidR="00CE500F">
        <w:rPr>
          <w:b/>
          <w:szCs w:val="22"/>
        </w:rPr>
        <w:br w:type="page"/>
      </w:r>
    </w:p>
    <w:p w:rsidR="00E9129B" w:rsidRPr="00C6405A" w:rsidRDefault="00E9129B" w:rsidP="00CE500F">
      <w:pPr>
        <w:autoSpaceDE w:val="0"/>
        <w:autoSpaceDN w:val="0"/>
        <w:adjustRightInd w:val="0"/>
        <w:spacing w:before="100" w:after="100" w:line="310" w:lineRule="exact"/>
        <w:rPr>
          <w:b/>
          <w:szCs w:val="22"/>
        </w:rPr>
      </w:pPr>
      <w:r w:rsidRPr="00C6405A">
        <w:rPr>
          <w:b/>
          <w:szCs w:val="22"/>
        </w:rPr>
        <w:lastRenderedPageBreak/>
        <w:t>Kennzahlenübersicht W&amp;W-Konzern</w:t>
      </w:r>
    </w:p>
    <w:p w:rsidR="00E9129B" w:rsidRDefault="00E9129B" w:rsidP="00CE500F">
      <w:pPr>
        <w:spacing w:line="310" w:lineRule="exact"/>
      </w:pPr>
    </w:p>
    <w:p w:rsidR="00E9129B" w:rsidRPr="00C27D8B" w:rsidRDefault="00E9129B" w:rsidP="00CE500F">
      <w:pPr>
        <w:spacing w:line="310" w:lineRule="exact"/>
        <w:rPr>
          <w:sz w:val="16"/>
          <w:szCs w:val="16"/>
        </w:rPr>
      </w:pPr>
      <w:r w:rsidRPr="00C27D8B">
        <w:rPr>
          <w:sz w:val="16"/>
          <w:szCs w:val="16"/>
        </w:rPr>
        <w:t>Nach IFRS</w:t>
      </w:r>
    </w:p>
    <w:tbl>
      <w:tblPr>
        <w:tblStyle w:val="Tabellenraster"/>
        <w:tblW w:w="0" w:type="auto"/>
        <w:jc w:val="right"/>
        <w:tblLook w:val="04A0" w:firstRow="1" w:lastRow="0" w:firstColumn="1" w:lastColumn="0" w:noHBand="0" w:noVBand="1"/>
      </w:tblPr>
      <w:tblGrid>
        <w:gridCol w:w="2972"/>
        <w:gridCol w:w="1558"/>
        <w:gridCol w:w="2695"/>
        <w:gridCol w:w="1837"/>
      </w:tblGrid>
      <w:tr w:rsidR="00E9129B" w:rsidRPr="00877506" w:rsidTr="00304178">
        <w:trPr>
          <w:jc w:val="right"/>
        </w:trPr>
        <w:tc>
          <w:tcPr>
            <w:tcW w:w="2972" w:type="dxa"/>
            <w:shd w:val="clear" w:color="auto" w:fill="FFFF99"/>
            <w:vAlign w:val="bottom"/>
          </w:tcPr>
          <w:p w:rsidR="00E9129B" w:rsidRPr="00877506" w:rsidRDefault="00E9129B" w:rsidP="00CE500F">
            <w:pPr>
              <w:spacing w:line="280" w:lineRule="exact"/>
              <w:rPr>
                <w:b/>
                <w:sz w:val="18"/>
                <w:szCs w:val="18"/>
              </w:rPr>
            </w:pPr>
            <w:r w:rsidRPr="00877506">
              <w:rPr>
                <w:b/>
                <w:sz w:val="18"/>
                <w:szCs w:val="18"/>
              </w:rPr>
              <w:t>Konzernbilanz</w:t>
            </w:r>
          </w:p>
        </w:tc>
        <w:tc>
          <w:tcPr>
            <w:tcW w:w="1558" w:type="dxa"/>
            <w:shd w:val="clear" w:color="auto" w:fill="FFFF99"/>
            <w:vAlign w:val="bottom"/>
          </w:tcPr>
          <w:p w:rsidR="00E9129B" w:rsidRPr="00877506" w:rsidRDefault="00E9129B" w:rsidP="00CE500F">
            <w:pPr>
              <w:spacing w:line="280" w:lineRule="exact"/>
              <w:jc w:val="right"/>
              <w:rPr>
                <w:sz w:val="18"/>
                <w:szCs w:val="18"/>
              </w:rPr>
            </w:pPr>
          </w:p>
        </w:tc>
        <w:tc>
          <w:tcPr>
            <w:tcW w:w="2695" w:type="dxa"/>
            <w:shd w:val="clear" w:color="auto" w:fill="FFFF99"/>
            <w:vAlign w:val="bottom"/>
          </w:tcPr>
          <w:p w:rsidR="00E9129B" w:rsidRPr="00877506" w:rsidRDefault="00E9129B" w:rsidP="00CE500F">
            <w:pPr>
              <w:spacing w:line="280" w:lineRule="exact"/>
              <w:jc w:val="right"/>
              <w:rPr>
                <w:sz w:val="18"/>
                <w:szCs w:val="18"/>
              </w:rPr>
            </w:pPr>
            <w:r w:rsidRPr="00877506">
              <w:rPr>
                <w:sz w:val="18"/>
                <w:szCs w:val="18"/>
              </w:rPr>
              <w:t>31.12.2016</w:t>
            </w:r>
          </w:p>
        </w:tc>
        <w:tc>
          <w:tcPr>
            <w:tcW w:w="1837" w:type="dxa"/>
            <w:shd w:val="clear" w:color="auto" w:fill="FFFF99"/>
            <w:vAlign w:val="bottom"/>
          </w:tcPr>
          <w:p w:rsidR="00E9129B" w:rsidRPr="00877506" w:rsidRDefault="00E9129B" w:rsidP="00CE500F">
            <w:pPr>
              <w:spacing w:line="280" w:lineRule="exact"/>
              <w:jc w:val="right"/>
              <w:rPr>
                <w:sz w:val="18"/>
                <w:szCs w:val="18"/>
              </w:rPr>
            </w:pPr>
            <w:r w:rsidRPr="00877506">
              <w:rPr>
                <w:sz w:val="18"/>
                <w:szCs w:val="18"/>
              </w:rPr>
              <w:t>31.12.2015</w:t>
            </w:r>
          </w:p>
        </w:tc>
      </w:tr>
      <w:tr w:rsidR="00E9129B" w:rsidRPr="00877506" w:rsidTr="00304178">
        <w:trPr>
          <w:jc w:val="right"/>
        </w:trPr>
        <w:tc>
          <w:tcPr>
            <w:tcW w:w="2972" w:type="dxa"/>
            <w:vAlign w:val="bottom"/>
          </w:tcPr>
          <w:p w:rsidR="00E9129B" w:rsidRPr="00877506" w:rsidRDefault="00E9129B" w:rsidP="00CE500F">
            <w:pPr>
              <w:spacing w:line="280" w:lineRule="exact"/>
              <w:rPr>
                <w:sz w:val="18"/>
                <w:szCs w:val="18"/>
              </w:rPr>
            </w:pPr>
            <w:r w:rsidRPr="00877506">
              <w:rPr>
                <w:sz w:val="18"/>
                <w:szCs w:val="18"/>
              </w:rPr>
              <w:t>Bilanzsumme</w:t>
            </w:r>
          </w:p>
        </w:tc>
        <w:tc>
          <w:tcPr>
            <w:tcW w:w="1558" w:type="dxa"/>
            <w:vAlign w:val="bottom"/>
          </w:tcPr>
          <w:p w:rsidR="00E9129B" w:rsidRPr="00877506" w:rsidRDefault="00E9129B" w:rsidP="00CE500F">
            <w:pPr>
              <w:spacing w:line="280" w:lineRule="exact"/>
              <w:jc w:val="right"/>
              <w:rPr>
                <w:sz w:val="18"/>
                <w:szCs w:val="18"/>
              </w:rPr>
            </w:pPr>
            <w:r w:rsidRPr="00877506">
              <w:rPr>
                <w:sz w:val="18"/>
                <w:szCs w:val="18"/>
              </w:rPr>
              <w:t>In Mrd. €</w:t>
            </w:r>
          </w:p>
        </w:tc>
        <w:tc>
          <w:tcPr>
            <w:tcW w:w="2695" w:type="dxa"/>
            <w:vAlign w:val="bottom"/>
          </w:tcPr>
          <w:p w:rsidR="00E9129B" w:rsidRPr="00877506" w:rsidRDefault="00E9129B" w:rsidP="00CE500F">
            <w:pPr>
              <w:spacing w:line="280" w:lineRule="exact"/>
              <w:jc w:val="right"/>
              <w:rPr>
                <w:sz w:val="18"/>
                <w:szCs w:val="18"/>
              </w:rPr>
            </w:pPr>
            <w:r w:rsidRPr="00877506">
              <w:rPr>
                <w:sz w:val="18"/>
                <w:szCs w:val="18"/>
              </w:rPr>
              <w:t>72,3</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74,1</w:t>
            </w:r>
          </w:p>
        </w:tc>
      </w:tr>
      <w:tr w:rsidR="00E9129B" w:rsidRPr="00877506" w:rsidTr="00304178">
        <w:trPr>
          <w:jc w:val="right"/>
        </w:trPr>
        <w:tc>
          <w:tcPr>
            <w:tcW w:w="2972" w:type="dxa"/>
            <w:vAlign w:val="bottom"/>
          </w:tcPr>
          <w:p w:rsidR="00E9129B" w:rsidRPr="00877506" w:rsidRDefault="00E9129B" w:rsidP="00CE500F">
            <w:pPr>
              <w:spacing w:line="280" w:lineRule="exact"/>
              <w:rPr>
                <w:sz w:val="18"/>
                <w:szCs w:val="18"/>
              </w:rPr>
            </w:pPr>
            <w:r w:rsidRPr="00877506">
              <w:rPr>
                <w:sz w:val="18"/>
                <w:szCs w:val="18"/>
              </w:rPr>
              <w:t>Kapitalanlagen</w:t>
            </w:r>
          </w:p>
        </w:tc>
        <w:tc>
          <w:tcPr>
            <w:tcW w:w="1558" w:type="dxa"/>
            <w:vAlign w:val="bottom"/>
          </w:tcPr>
          <w:p w:rsidR="00E9129B" w:rsidRPr="00877506" w:rsidRDefault="00E9129B" w:rsidP="00CE500F">
            <w:pPr>
              <w:spacing w:line="280" w:lineRule="exact"/>
              <w:jc w:val="right"/>
              <w:rPr>
                <w:sz w:val="18"/>
                <w:szCs w:val="18"/>
              </w:rPr>
            </w:pPr>
            <w:r w:rsidRPr="00877506">
              <w:rPr>
                <w:sz w:val="18"/>
                <w:szCs w:val="18"/>
              </w:rPr>
              <w:t>In Mrd. €</w:t>
            </w:r>
          </w:p>
        </w:tc>
        <w:tc>
          <w:tcPr>
            <w:tcW w:w="2695" w:type="dxa"/>
            <w:vAlign w:val="bottom"/>
          </w:tcPr>
          <w:p w:rsidR="00E9129B" w:rsidRPr="00877506" w:rsidRDefault="00E9129B" w:rsidP="00CE500F">
            <w:pPr>
              <w:spacing w:line="280" w:lineRule="exact"/>
              <w:jc w:val="right"/>
              <w:rPr>
                <w:sz w:val="18"/>
                <w:szCs w:val="18"/>
              </w:rPr>
            </w:pPr>
            <w:r w:rsidRPr="00877506">
              <w:rPr>
                <w:sz w:val="18"/>
                <w:szCs w:val="18"/>
              </w:rPr>
              <w:t>45,8</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47,0</w:t>
            </w:r>
          </w:p>
        </w:tc>
      </w:tr>
      <w:tr w:rsidR="00E9129B" w:rsidRPr="00877506" w:rsidTr="00304178">
        <w:trPr>
          <w:jc w:val="right"/>
        </w:trPr>
        <w:tc>
          <w:tcPr>
            <w:tcW w:w="2972" w:type="dxa"/>
            <w:vAlign w:val="bottom"/>
          </w:tcPr>
          <w:p w:rsidR="00E9129B" w:rsidRPr="00877506" w:rsidRDefault="00E9129B" w:rsidP="00CE500F">
            <w:pPr>
              <w:spacing w:line="280" w:lineRule="exact"/>
              <w:rPr>
                <w:sz w:val="18"/>
                <w:szCs w:val="18"/>
              </w:rPr>
            </w:pPr>
            <w:r w:rsidRPr="00877506">
              <w:rPr>
                <w:sz w:val="18"/>
                <w:szCs w:val="18"/>
              </w:rPr>
              <w:t>Eigenkapital</w:t>
            </w:r>
          </w:p>
        </w:tc>
        <w:tc>
          <w:tcPr>
            <w:tcW w:w="1558" w:type="dxa"/>
            <w:vAlign w:val="bottom"/>
          </w:tcPr>
          <w:p w:rsidR="00E9129B" w:rsidRPr="00877506" w:rsidRDefault="00E9129B" w:rsidP="00CE500F">
            <w:pPr>
              <w:spacing w:line="280" w:lineRule="exact"/>
              <w:jc w:val="right"/>
              <w:rPr>
                <w:sz w:val="18"/>
                <w:szCs w:val="18"/>
              </w:rPr>
            </w:pPr>
            <w:r w:rsidRPr="00877506">
              <w:rPr>
                <w:sz w:val="18"/>
                <w:szCs w:val="18"/>
              </w:rPr>
              <w:t>In Mrd. €</w:t>
            </w:r>
          </w:p>
        </w:tc>
        <w:tc>
          <w:tcPr>
            <w:tcW w:w="2695" w:type="dxa"/>
            <w:vAlign w:val="bottom"/>
          </w:tcPr>
          <w:p w:rsidR="00E9129B" w:rsidRPr="00877506" w:rsidRDefault="00E9129B" w:rsidP="00CE500F">
            <w:pPr>
              <w:spacing w:line="280" w:lineRule="exact"/>
              <w:jc w:val="right"/>
              <w:rPr>
                <w:sz w:val="18"/>
                <w:szCs w:val="18"/>
              </w:rPr>
            </w:pPr>
            <w:r w:rsidRPr="00877506">
              <w:rPr>
                <w:sz w:val="18"/>
                <w:szCs w:val="18"/>
              </w:rPr>
              <w:t>3,8</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3,6</w:t>
            </w:r>
          </w:p>
        </w:tc>
      </w:tr>
    </w:tbl>
    <w:p w:rsidR="00E9129B" w:rsidRPr="00877506" w:rsidRDefault="00E9129B" w:rsidP="00CE500F">
      <w:pPr>
        <w:spacing w:line="280" w:lineRule="exact"/>
        <w:rPr>
          <w:sz w:val="18"/>
          <w:szCs w:val="18"/>
        </w:rPr>
      </w:pPr>
    </w:p>
    <w:tbl>
      <w:tblPr>
        <w:tblStyle w:val="Tabellenraster"/>
        <w:tblW w:w="0" w:type="auto"/>
        <w:tblLook w:val="04A0" w:firstRow="1" w:lastRow="0" w:firstColumn="1" w:lastColumn="0" w:noHBand="0" w:noVBand="1"/>
      </w:tblPr>
      <w:tblGrid>
        <w:gridCol w:w="2972"/>
        <w:gridCol w:w="1559"/>
        <w:gridCol w:w="2694"/>
        <w:gridCol w:w="1837"/>
      </w:tblGrid>
      <w:tr w:rsidR="00E9129B" w:rsidRPr="00877506" w:rsidTr="00304178">
        <w:tc>
          <w:tcPr>
            <w:tcW w:w="2972" w:type="dxa"/>
            <w:shd w:val="clear" w:color="auto" w:fill="FFFF99"/>
            <w:vAlign w:val="bottom"/>
          </w:tcPr>
          <w:p w:rsidR="00E9129B" w:rsidRPr="00877506" w:rsidRDefault="00E9129B" w:rsidP="00CE500F">
            <w:pPr>
              <w:spacing w:line="280" w:lineRule="exact"/>
              <w:rPr>
                <w:b/>
                <w:sz w:val="18"/>
                <w:szCs w:val="18"/>
              </w:rPr>
            </w:pPr>
            <w:r w:rsidRPr="00877506">
              <w:rPr>
                <w:b/>
                <w:sz w:val="18"/>
                <w:szCs w:val="18"/>
              </w:rPr>
              <w:t>Konzern-Gewinn- und Verlustrechnung</w:t>
            </w:r>
          </w:p>
        </w:tc>
        <w:tc>
          <w:tcPr>
            <w:tcW w:w="1559" w:type="dxa"/>
            <w:shd w:val="clear" w:color="auto" w:fill="FFFF99"/>
            <w:vAlign w:val="bottom"/>
          </w:tcPr>
          <w:p w:rsidR="00E9129B" w:rsidRPr="00877506" w:rsidRDefault="00E9129B" w:rsidP="00CE500F">
            <w:pPr>
              <w:spacing w:line="280" w:lineRule="exact"/>
              <w:rPr>
                <w:sz w:val="18"/>
                <w:szCs w:val="18"/>
              </w:rPr>
            </w:pPr>
          </w:p>
        </w:tc>
        <w:tc>
          <w:tcPr>
            <w:tcW w:w="2694" w:type="dxa"/>
            <w:shd w:val="clear" w:color="auto" w:fill="FFFF99"/>
            <w:vAlign w:val="bottom"/>
          </w:tcPr>
          <w:p w:rsidR="00E9129B" w:rsidRPr="00877506" w:rsidRDefault="00E9129B" w:rsidP="00CE500F">
            <w:pPr>
              <w:spacing w:line="280" w:lineRule="exact"/>
              <w:jc w:val="right"/>
              <w:rPr>
                <w:sz w:val="18"/>
                <w:szCs w:val="18"/>
              </w:rPr>
            </w:pPr>
            <w:r w:rsidRPr="00877506">
              <w:rPr>
                <w:sz w:val="18"/>
                <w:szCs w:val="18"/>
              </w:rPr>
              <w:t>1.1.2016 bis</w:t>
            </w:r>
            <w:r w:rsidRPr="00877506">
              <w:rPr>
                <w:sz w:val="18"/>
                <w:szCs w:val="18"/>
              </w:rPr>
              <w:br/>
              <w:t xml:space="preserve"> 31.12.2016</w:t>
            </w:r>
          </w:p>
        </w:tc>
        <w:tc>
          <w:tcPr>
            <w:tcW w:w="1837" w:type="dxa"/>
            <w:shd w:val="clear" w:color="auto" w:fill="FFFF99"/>
            <w:vAlign w:val="bottom"/>
          </w:tcPr>
          <w:p w:rsidR="00E9129B" w:rsidRPr="00877506" w:rsidRDefault="00E9129B" w:rsidP="00CE500F">
            <w:pPr>
              <w:spacing w:line="280" w:lineRule="exact"/>
              <w:jc w:val="right"/>
              <w:rPr>
                <w:sz w:val="18"/>
                <w:szCs w:val="18"/>
              </w:rPr>
            </w:pPr>
            <w:r w:rsidRPr="00877506">
              <w:rPr>
                <w:sz w:val="18"/>
                <w:szCs w:val="18"/>
              </w:rPr>
              <w:t>1.1.2015 bis 31.12.2015</w:t>
            </w:r>
          </w:p>
        </w:tc>
      </w:tr>
      <w:tr w:rsidR="00E9129B" w:rsidRPr="00877506" w:rsidTr="00304178">
        <w:tc>
          <w:tcPr>
            <w:tcW w:w="2972" w:type="dxa"/>
            <w:vAlign w:val="bottom"/>
          </w:tcPr>
          <w:p w:rsidR="00E9129B" w:rsidRPr="00877506" w:rsidRDefault="00E9129B" w:rsidP="00CE500F">
            <w:pPr>
              <w:spacing w:line="280" w:lineRule="exact"/>
              <w:rPr>
                <w:sz w:val="18"/>
                <w:szCs w:val="18"/>
              </w:rPr>
            </w:pPr>
            <w:r w:rsidRPr="00877506">
              <w:rPr>
                <w:sz w:val="18"/>
                <w:szCs w:val="18"/>
              </w:rPr>
              <w:t>Finanzergebnis (nach Risikovorsorge)</w:t>
            </w:r>
          </w:p>
        </w:tc>
        <w:tc>
          <w:tcPr>
            <w:tcW w:w="1559" w:type="dxa"/>
            <w:vAlign w:val="bottom"/>
          </w:tcPr>
          <w:p w:rsidR="00E9129B" w:rsidRPr="00877506" w:rsidRDefault="00E9129B" w:rsidP="00CE500F">
            <w:pPr>
              <w:spacing w:line="280" w:lineRule="exact"/>
              <w:jc w:val="right"/>
              <w:rPr>
                <w:sz w:val="18"/>
                <w:szCs w:val="18"/>
              </w:rPr>
            </w:pPr>
            <w:r w:rsidRPr="00877506">
              <w:rPr>
                <w:sz w:val="18"/>
                <w:szCs w:val="18"/>
              </w:rPr>
              <w:t>In Mrd. €</w:t>
            </w:r>
          </w:p>
        </w:tc>
        <w:tc>
          <w:tcPr>
            <w:tcW w:w="2694" w:type="dxa"/>
            <w:vAlign w:val="bottom"/>
          </w:tcPr>
          <w:p w:rsidR="00E9129B" w:rsidRPr="00877506" w:rsidRDefault="00E9129B" w:rsidP="00CE500F">
            <w:pPr>
              <w:spacing w:line="280" w:lineRule="exact"/>
              <w:jc w:val="right"/>
              <w:rPr>
                <w:sz w:val="18"/>
                <w:szCs w:val="18"/>
              </w:rPr>
            </w:pPr>
            <w:r w:rsidRPr="00877506">
              <w:rPr>
                <w:sz w:val="18"/>
                <w:szCs w:val="18"/>
              </w:rPr>
              <w:t>1,82</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2,03</w:t>
            </w:r>
          </w:p>
        </w:tc>
      </w:tr>
      <w:tr w:rsidR="00E9129B" w:rsidRPr="00877506" w:rsidTr="00304178">
        <w:tc>
          <w:tcPr>
            <w:tcW w:w="2972" w:type="dxa"/>
            <w:vAlign w:val="bottom"/>
          </w:tcPr>
          <w:p w:rsidR="00E9129B" w:rsidRPr="00877506" w:rsidRDefault="00E9129B" w:rsidP="00CE500F">
            <w:pPr>
              <w:spacing w:line="280" w:lineRule="exact"/>
              <w:rPr>
                <w:sz w:val="18"/>
                <w:szCs w:val="18"/>
              </w:rPr>
            </w:pPr>
            <w:r w:rsidRPr="00877506">
              <w:rPr>
                <w:sz w:val="18"/>
                <w:szCs w:val="18"/>
              </w:rPr>
              <w:t>Leistungen aus Versicherungsverträgen (netto)</w:t>
            </w:r>
          </w:p>
        </w:tc>
        <w:tc>
          <w:tcPr>
            <w:tcW w:w="1559" w:type="dxa"/>
            <w:vAlign w:val="bottom"/>
          </w:tcPr>
          <w:p w:rsidR="00E9129B" w:rsidRPr="00877506" w:rsidRDefault="00E9129B" w:rsidP="00CE500F">
            <w:pPr>
              <w:spacing w:line="280" w:lineRule="exact"/>
              <w:jc w:val="right"/>
              <w:rPr>
                <w:sz w:val="18"/>
                <w:szCs w:val="18"/>
              </w:rPr>
            </w:pPr>
            <w:r w:rsidRPr="00877506">
              <w:rPr>
                <w:sz w:val="18"/>
                <w:szCs w:val="18"/>
              </w:rPr>
              <w:t>In Mrd. €</w:t>
            </w:r>
          </w:p>
        </w:tc>
        <w:tc>
          <w:tcPr>
            <w:tcW w:w="2694" w:type="dxa"/>
            <w:vAlign w:val="bottom"/>
          </w:tcPr>
          <w:p w:rsidR="00E9129B" w:rsidRPr="00877506" w:rsidRDefault="00E9129B" w:rsidP="00CE500F">
            <w:pPr>
              <w:spacing w:line="280" w:lineRule="exact"/>
              <w:jc w:val="right"/>
              <w:rPr>
                <w:sz w:val="18"/>
                <w:szCs w:val="18"/>
              </w:rPr>
            </w:pPr>
            <w:r w:rsidRPr="00877506">
              <w:rPr>
                <w:sz w:val="18"/>
                <w:szCs w:val="18"/>
              </w:rPr>
              <w:t>-4,08</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-4,28</w:t>
            </w:r>
          </w:p>
        </w:tc>
      </w:tr>
      <w:tr w:rsidR="00E9129B" w:rsidRPr="00877506" w:rsidTr="00304178">
        <w:tc>
          <w:tcPr>
            <w:tcW w:w="2972" w:type="dxa"/>
            <w:vAlign w:val="bottom"/>
          </w:tcPr>
          <w:p w:rsidR="00E9129B" w:rsidRPr="00877506" w:rsidRDefault="00E9129B" w:rsidP="00CE500F">
            <w:pPr>
              <w:spacing w:line="280" w:lineRule="exact"/>
              <w:rPr>
                <w:sz w:val="18"/>
                <w:szCs w:val="18"/>
              </w:rPr>
            </w:pPr>
            <w:r w:rsidRPr="00877506">
              <w:rPr>
                <w:sz w:val="18"/>
                <w:szCs w:val="18"/>
              </w:rPr>
              <w:t xml:space="preserve">Konzernüberschuss </w:t>
            </w:r>
            <w:r w:rsidR="00D31FF8">
              <w:rPr>
                <w:sz w:val="18"/>
                <w:szCs w:val="18"/>
              </w:rPr>
              <w:t>(</w:t>
            </w:r>
            <w:r w:rsidRPr="00877506">
              <w:rPr>
                <w:sz w:val="18"/>
                <w:szCs w:val="18"/>
              </w:rPr>
              <w:t>nach Steuern</w:t>
            </w:r>
            <w:r w:rsidR="00D31FF8">
              <w:rPr>
                <w:sz w:val="18"/>
                <w:szCs w:val="18"/>
              </w:rPr>
              <w:t>)</w:t>
            </w:r>
          </w:p>
        </w:tc>
        <w:tc>
          <w:tcPr>
            <w:tcW w:w="1559" w:type="dxa"/>
            <w:vAlign w:val="bottom"/>
          </w:tcPr>
          <w:p w:rsidR="00E9129B" w:rsidRPr="00877506" w:rsidRDefault="00E9129B" w:rsidP="00CE500F">
            <w:pPr>
              <w:spacing w:line="280" w:lineRule="exact"/>
              <w:jc w:val="right"/>
              <w:rPr>
                <w:sz w:val="18"/>
                <w:szCs w:val="18"/>
              </w:rPr>
            </w:pPr>
            <w:r w:rsidRPr="00877506">
              <w:rPr>
                <w:sz w:val="18"/>
                <w:szCs w:val="18"/>
              </w:rPr>
              <w:t>In Mio. €</w:t>
            </w:r>
          </w:p>
        </w:tc>
        <w:tc>
          <w:tcPr>
            <w:tcW w:w="2694" w:type="dxa"/>
            <w:vAlign w:val="bottom"/>
          </w:tcPr>
          <w:p w:rsidR="00E9129B" w:rsidRPr="00877506" w:rsidRDefault="00E9129B" w:rsidP="00CE500F">
            <w:pPr>
              <w:spacing w:line="280" w:lineRule="exact"/>
              <w:jc w:val="right"/>
              <w:rPr>
                <w:sz w:val="18"/>
                <w:szCs w:val="18"/>
              </w:rPr>
            </w:pPr>
            <w:r w:rsidRPr="00877506">
              <w:rPr>
                <w:sz w:val="18"/>
                <w:szCs w:val="18"/>
              </w:rPr>
              <w:t>235,3</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274,3</w:t>
            </w:r>
          </w:p>
        </w:tc>
      </w:tr>
    </w:tbl>
    <w:p w:rsidR="00E9129B" w:rsidRPr="00877506" w:rsidRDefault="00E9129B" w:rsidP="00CE500F">
      <w:pPr>
        <w:spacing w:line="280" w:lineRule="exact"/>
        <w:rPr>
          <w:sz w:val="18"/>
          <w:szCs w:val="18"/>
        </w:rPr>
      </w:pPr>
    </w:p>
    <w:tbl>
      <w:tblPr>
        <w:tblStyle w:val="Tabellenraster"/>
        <w:tblW w:w="0" w:type="auto"/>
        <w:tblLook w:val="04A0" w:firstRow="1" w:lastRow="0" w:firstColumn="1" w:lastColumn="0" w:noHBand="0" w:noVBand="1"/>
      </w:tblPr>
      <w:tblGrid>
        <w:gridCol w:w="2947"/>
        <w:gridCol w:w="1584"/>
        <w:gridCol w:w="2694"/>
        <w:gridCol w:w="1837"/>
      </w:tblGrid>
      <w:tr w:rsidR="00E9129B" w:rsidRPr="00877506" w:rsidTr="00304178">
        <w:tc>
          <w:tcPr>
            <w:tcW w:w="2947" w:type="dxa"/>
            <w:tcBorders>
              <w:bottom w:val="single" w:sz="4" w:space="0" w:color="auto"/>
            </w:tcBorders>
            <w:shd w:val="clear" w:color="auto" w:fill="FFFF99"/>
            <w:vAlign w:val="bottom"/>
          </w:tcPr>
          <w:p w:rsidR="00E9129B" w:rsidRPr="00877506" w:rsidRDefault="00E9129B" w:rsidP="00CE500F">
            <w:pPr>
              <w:spacing w:line="280" w:lineRule="exact"/>
              <w:rPr>
                <w:b/>
                <w:sz w:val="18"/>
                <w:szCs w:val="18"/>
              </w:rPr>
            </w:pPr>
            <w:r w:rsidRPr="00877506">
              <w:rPr>
                <w:b/>
                <w:sz w:val="18"/>
                <w:szCs w:val="18"/>
              </w:rPr>
              <w:t>Vertriebskennzahlen Konzern</w:t>
            </w:r>
          </w:p>
        </w:tc>
        <w:tc>
          <w:tcPr>
            <w:tcW w:w="1584" w:type="dxa"/>
            <w:tcBorders>
              <w:bottom w:val="single" w:sz="4" w:space="0" w:color="auto"/>
            </w:tcBorders>
            <w:shd w:val="clear" w:color="auto" w:fill="FFFF99"/>
            <w:vAlign w:val="bottom"/>
          </w:tcPr>
          <w:p w:rsidR="00E9129B" w:rsidRPr="00877506" w:rsidRDefault="00E9129B" w:rsidP="00CE500F">
            <w:pPr>
              <w:spacing w:line="280" w:lineRule="exact"/>
              <w:rPr>
                <w:sz w:val="18"/>
                <w:szCs w:val="18"/>
              </w:rPr>
            </w:pPr>
          </w:p>
        </w:tc>
        <w:tc>
          <w:tcPr>
            <w:tcW w:w="2694" w:type="dxa"/>
            <w:tcBorders>
              <w:bottom w:val="single" w:sz="4" w:space="0" w:color="auto"/>
            </w:tcBorders>
            <w:shd w:val="clear" w:color="auto" w:fill="FFFF99"/>
            <w:vAlign w:val="bottom"/>
          </w:tcPr>
          <w:p w:rsidR="00E9129B" w:rsidRPr="00877506" w:rsidRDefault="00E9129B" w:rsidP="00CE500F">
            <w:pPr>
              <w:spacing w:line="280" w:lineRule="exact"/>
              <w:jc w:val="right"/>
              <w:rPr>
                <w:sz w:val="18"/>
                <w:szCs w:val="18"/>
              </w:rPr>
            </w:pPr>
            <w:r w:rsidRPr="00877506">
              <w:rPr>
                <w:sz w:val="18"/>
                <w:szCs w:val="18"/>
              </w:rPr>
              <w:t>31.12.2016</w:t>
            </w:r>
          </w:p>
        </w:tc>
        <w:tc>
          <w:tcPr>
            <w:tcW w:w="1837" w:type="dxa"/>
            <w:tcBorders>
              <w:bottom w:val="single" w:sz="4" w:space="0" w:color="auto"/>
            </w:tcBorders>
            <w:shd w:val="clear" w:color="auto" w:fill="FFFF99"/>
            <w:vAlign w:val="bottom"/>
          </w:tcPr>
          <w:p w:rsidR="00E9129B" w:rsidRPr="00877506" w:rsidRDefault="00E9129B" w:rsidP="00CE500F">
            <w:pPr>
              <w:spacing w:line="280" w:lineRule="exact"/>
              <w:jc w:val="right"/>
              <w:rPr>
                <w:sz w:val="18"/>
                <w:szCs w:val="18"/>
              </w:rPr>
            </w:pPr>
            <w:r w:rsidRPr="00877506">
              <w:rPr>
                <w:sz w:val="18"/>
                <w:szCs w:val="18"/>
              </w:rPr>
              <w:t>31.12.2015</w:t>
            </w:r>
          </w:p>
        </w:tc>
      </w:tr>
      <w:tr w:rsidR="00E9129B" w:rsidRPr="00877506" w:rsidTr="00304178">
        <w:tc>
          <w:tcPr>
            <w:tcW w:w="2947" w:type="dxa"/>
            <w:shd w:val="clear" w:color="auto" w:fill="FFFFFF" w:themeFill="background1"/>
            <w:vAlign w:val="bottom"/>
          </w:tcPr>
          <w:p w:rsidR="00E9129B" w:rsidRPr="00877506" w:rsidRDefault="00E9129B" w:rsidP="00CE500F">
            <w:pPr>
              <w:spacing w:line="280" w:lineRule="exact"/>
              <w:rPr>
                <w:sz w:val="18"/>
                <w:szCs w:val="18"/>
              </w:rPr>
            </w:pPr>
            <w:r w:rsidRPr="00877506">
              <w:rPr>
                <w:sz w:val="18"/>
                <w:szCs w:val="18"/>
              </w:rPr>
              <w:t>Neugeschäft Baufinanzierung (inkl. Vermittlungen ins Fremdbuch, konzernweit)</w:t>
            </w:r>
          </w:p>
        </w:tc>
        <w:tc>
          <w:tcPr>
            <w:tcW w:w="1584" w:type="dxa"/>
            <w:shd w:val="clear" w:color="auto" w:fill="FFFFFF" w:themeFill="background1"/>
            <w:vAlign w:val="bottom"/>
          </w:tcPr>
          <w:p w:rsidR="00E9129B" w:rsidRPr="00877506" w:rsidRDefault="00E9129B" w:rsidP="00CE500F">
            <w:pPr>
              <w:spacing w:line="280" w:lineRule="exact"/>
              <w:jc w:val="right"/>
              <w:rPr>
                <w:sz w:val="18"/>
                <w:szCs w:val="18"/>
              </w:rPr>
            </w:pPr>
            <w:r w:rsidRPr="00877506">
              <w:rPr>
                <w:sz w:val="18"/>
                <w:szCs w:val="18"/>
              </w:rPr>
              <w:t>In Mrd. €</w:t>
            </w:r>
          </w:p>
        </w:tc>
        <w:tc>
          <w:tcPr>
            <w:tcW w:w="2694" w:type="dxa"/>
            <w:shd w:val="clear" w:color="auto" w:fill="FFFFFF" w:themeFill="background1"/>
            <w:vAlign w:val="bottom"/>
          </w:tcPr>
          <w:p w:rsidR="00E9129B" w:rsidRPr="00877506" w:rsidRDefault="00E9129B" w:rsidP="00CE500F">
            <w:pPr>
              <w:spacing w:line="280" w:lineRule="exact"/>
              <w:jc w:val="right"/>
              <w:rPr>
                <w:sz w:val="18"/>
                <w:szCs w:val="18"/>
              </w:rPr>
            </w:pPr>
            <w:r w:rsidRPr="00877506">
              <w:rPr>
                <w:sz w:val="18"/>
                <w:szCs w:val="18"/>
              </w:rPr>
              <w:t>5,4</w:t>
            </w:r>
          </w:p>
        </w:tc>
        <w:tc>
          <w:tcPr>
            <w:tcW w:w="1837" w:type="dxa"/>
            <w:shd w:val="clear" w:color="auto" w:fill="FFFFFF" w:themeFill="background1"/>
            <w:vAlign w:val="bottom"/>
          </w:tcPr>
          <w:p w:rsidR="00E9129B" w:rsidRPr="00877506" w:rsidRDefault="00E9129B" w:rsidP="00CE500F">
            <w:pPr>
              <w:spacing w:line="280" w:lineRule="exact"/>
              <w:jc w:val="right"/>
              <w:rPr>
                <w:sz w:val="18"/>
                <w:szCs w:val="18"/>
              </w:rPr>
            </w:pPr>
            <w:r w:rsidRPr="00877506">
              <w:rPr>
                <w:sz w:val="18"/>
                <w:szCs w:val="18"/>
              </w:rPr>
              <w:t>5,5</w:t>
            </w:r>
          </w:p>
        </w:tc>
      </w:tr>
      <w:tr w:rsidR="00E9129B" w:rsidRPr="00877506" w:rsidTr="00304178">
        <w:tc>
          <w:tcPr>
            <w:tcW w:w="2947" w:type="dxa"/>
            <w:shd w:val="clear" w:color="auto" w:fill="D9D9D9" w:themeFill="background1" w:themeFillShade="D9"/>
            <w:vAlign w:val="bottom"/>
          </w:tcPr>
          <w:p w:rsidR="00E9129B" w:rsidRPr="00877506" w:rsidRDefault="00E9129B" w:rsidP="00CE500F">
            <w:pPr>
              <w:spacing w:line="280" w:lineRule="exact"/>
              <w:rPr>
                <w:b/>
                <w:sz w:val="18"/>
                <w:szCs w:val="18"/>
              </w:rPr>
            </w:pPr>
            <w:r w:rsidRPr="00877506">
              <w:rPr>
                <w:b/>
                <w:sz w:val="18"/>
                <w:szCs w:val="18"/>
              </w:rPr>
              <w:t>Segment BausparBank</w:t>
            </w:r>
          </w:p>
        </w:tc>
        <w:tc>
          <w:tcPr>
            <w:tcW w:w="1584" w:type="dxa"/>
            <w:shd w:val="clear" w:color="auto" w:fill="D9D9D9" w:themeFill="background1" w:themeFillShade="D9"/>
            <w:vAlign w:val="bottom"/>
          </w:tcPr>
          <w:p w:rsidR="00E9129B" w:rsidRPr="00877506" w:rsidRDefault="00E9129B" w:rsidP="00CE500F">
            <w:pPr>
              <w:spacing w:line="280" w:lineRule="exact"/>
              <w:jc w:val="right"/>
              <w:rPr>
                <w:b/>
                <w:sz w:val="18"/>
                <w:szCs w:val="18"/>
              </w:rPr>
            </w:pPr>
          </w:p>
        </w:tc>
        <w:tc>
          <w:tcPr>
            <w:tcW w:w="2694" w:type="dxa"/>
            <w:shd w:val="clear" w:color="auto" w:fill="D9D9D9" w:themeFill="background1" w:themeFillShade="D9"/>
            <w:vAlign w:val="bottom"/>
          </w:tcPr>
          <w:p w:rsidR="00E9129B" w:rsidRPr="00877506" w:rsidRDefault="00E9129B" w:rsidP="00CE500F">
            <w:pPr>
              <w:spacing w:line="280" w:lineRule="exact"/>
              <w:jc w:val="right"/>
              <w:rPr>
                <w:b/>
                <w:sz w:val="18"/>
                <w:szCs w:val="18"/>
              </w:rPr>
            </w:pPr>
          </w:p>
        </w:tc>
        <w:tc>
          <w:tcPr>
            <w:tcW w:w="1837" w:type="dxa"/>
            <w:shd w:val="clear" w:color="auto" w:fill="D9D9D9" w:themeFill="background1" w:themeFillShade="D9"/>
            <w:vAlign w:val="bottom"/>
          </w:tcPr>
          <w:p w:rsidR="00E9129B" w:rsidRPr="00877506" w:rsidRDefault="00E9129B" w:rsidP="00CE500F">
            <w:pPr>
              <w:spacing w:line="280" w:lineRule="exact"/>
              <w:jc w:val="right"/>
              <w:rPr>
                <w:b/>
                <w:sz w:val="18"/>
                <w:szCs w:val="18"/>
              </w:rPr>
            </w:pPr>
          </w:p>
        </w:tc>
      </w:tr>
      <w:tr w:rsidR="00E9129B" w:rsidRPr="00877506" w:rsidTr="00304178">
        <w:trPr>
          <w:trHeight w:val="280"/>
        </w:trPr>
        <w:tc>
          <w:tcPr>
            <w:tcW w:w="2947" w:type="dxa"/>
            <w:vAlign w:val="bottom"/>
          </w:tcPr>
          <w:p w:rsidR="00E9129B" w:rsidRPr="00877506" w:rsidRDefault="00E9129B" w:rsidP="00CE500F">
            <w:pPr>
              <w:spacing w:line="280" w:lineRule="exact"/>
              <w:rPr>
                <w:sz w:val="18"/>
                <w:szCs w:val="18"/>
              </w:rPr>
            </w:pPr>
            <w:r w:rsidRPr="00877506">
              <w:rPr>
                <w:sz w:val="18"/>
                <w:szCs w:val="18"/>
              </w:rPr>
              <w:t>Brutto-Bausparneugeschäft</w:t>
            </w:r>
          </w:p>
        </w:tc>
        <w:tc>
          <w:tcPr>
            <w:tcW w:w="1584" w:type="dxa"/>
            <w:vAlign w:val="bottom"/>
          </w:tcPr>
          <w:p w:rsidR="00E9129B" w:rsidRPr="00877506" w:rsidRDefault="00E9129B" w:rsidP="00CE500F">
            <w:pPr>
              <w:spacing w:line="280" w:lineRule="exact"/>
              <w:jc w:val="right"/>
              <w:rPr>
                <w:sz w:val="18"/>
                <w:szCs w:val="18"/>
              </w:rPr>
            </w:pPr>
            <w:r w:rsidRPr="00877506">
              <w:rPr>
                <w:sz w:val="18"/>
                <w:szCs w:val="18"/>
              </w:rPr>
              <w:t>In Mrd. €</w:t>
            </w:r>
          </w:p>
        </w:tc>
        <w:tc>
          <w:tcPr>
            <w:tcW w:w="2694" w:type="dxa"/>
            <w:vAlign w:val="bottom"/>
          </w:tcPr>
          <w:p w:rsidR="00E9129B" w:rsidRPr="00877506" w:rsidRDefault="00E9129B" w:rsidP="00CE500F">
            <w:pPr>
              <w:spacing w:line="280" w:lineRule="exact"/>
              <w:jc w:val="right"/>
              <w:rPr>
                <w:sz w:val="18"/>
                <w:szCs w:val="18"/>
              </w:rPr>
            </w:pPr>
            <w:r w:rsidRPr="00877506">
              <w:rPr>
                <w:sz w:val="18"/>
                <w:szCs w:val="18"/>
              </w:rPr>
              <w:t>13,6</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14,1</w:t>
            </w:r>
          </w:p>
        </w:tc>
      </w:tr>
      <w:tr w:rsidR="00E9129B" w:rsidRPr="00877506" w:rsidTr="00304178">
        <w:trPr>
          <w:trHeight w:val="270"/>
        </w:trPr>
        <w:tc>
          <w:tcPr>
            <w:tcW w:w="2947" w:type="dxa"/>
            <w:tcBorders>
              <w:bottom w:val="single" w:sz="4" w:space="0" w:color="auto"/>
            </w:tcBorders>
            <w:vAlign w:val="bottom"/>
          </w:tcPr>
          <w:p w:rsidR="00E9129B" w:rsidRPr="00877506" w:rsidRDefault="00E9129B" w:rsidP="00CE500F">
            <w:pPr>
              <w:spacing w:line="280" w:lineRule="exact"/>
              <w:rPr>
                <w:sz w:val="18"/>
                <w:szCs w:val="18"/>
              </w:rPr>
            </w:pPr>
            <w:r w:rsidRPr="00877506">
              <w:rPr>
                <w:sz w:val="18"/>
                <w:szCs w:val="18"/>
              </w:rPr>
              <w:t>Netto-Bausparneugeschäft</w:t>
            </w:r>
          </w:p>
        </w:tc>
        <w:tc>
          <w:tcPr>
            <w:tcW w:w="1584" w:type="dxa"/>
            <w:tcBorders>
              <w:bottom w:val="single" w:sz="4" w:space="0" w:color="auto"/>
            </w:tcBorders>
            <w:vAlign w:val="bottom"/>
          </w:tcPr>
          <w:p w:rsidR="00E9129B" w:rsidRPr="00877506" w:rsidRDefault="00E9129B" w:rsidP="00CE500F">
            <w:pPr>
              <w:spacing w:line="280" w:lineRule="exact"/>
              <w:jc w:val="right"/>
              <w:rPr>
                <w:sz w:val="18"/>
                <w:szCs w:val="18"/>
              </w:rPr>
            </w:pPr>
            <w:r w:rsidRPr="00877506">
              <w:rPr>
                <w:sz w:val="18"/>
                <w:szCs w:val="18"/>
              </w:rPr>
              <w:t>In Mrd. €</w:t>
            </w:r>
          </w:p>
        </w:tc>
        <w:tc>
          <w:tcPr>
            <w:tcW w:w="2694" w:type="dxa"/>
            <w:tcBorders>
              <w:bottom w:val="single" w:sz="4" w:space="0" w:color="auto"/>
            </w:tcBorders>
            <w:vAlign w:val="bottom"/>
          </w:tcPr>
          <w:p w:rsidR="00E9129B" w:rsidRPr="00877506" w:rsidRDefault="00E9129B" w:rsidP="00CE500F">
            <w:pPr>
              <w:spacing w:line="280" w:lineRule="exact"/>
              <w:jc w:val="right"/>
              <w:rPr>
                <w:sz w:val="18"/>
                <w:szCs w:val="18"/>
              </w:rPr>
            </w:pPr>
            <w:r w:rsidRPr="00877506">
              <w:rPr>
                <w:sz w:val="18"/>
                <w:szCs w:val="18"/>
              </w:rPr>
              <w:t>11,9</w:t>
            </w:r>
          </w:p>
        </w:tc>
        <w:tc>
          <w:tcPr>
            <w:tcW w:w="1837" w:type="dxa"/>
            <w:tcBorders>
              <w:bottom w:val="single" w:sz="4" w:space="0" w:color="auto"/>
            </w:tcBorders>
            <w:vAlign w:val="bottom"/>
          </w:tcPr>
          <w:p w:rsidR="00E9129B" w:rsidRPr="00877506" w:rsidRDefault="00E9129B" w:rsidP="00CE500F">
            <w:pPr>
              <w:spacing w:line="280" w:lineRule="exact"/>
              <w:jc w:val="right"/>
              <w:rPr>
                <w:sz w:val="18"/>
                <w:szCs w:val="18"/>
              </w:rPr>
            </w:pPr>
            <w:r w:rsidRPr="00877506">
              <w:rPr>
                <w:sz w:val="18"/>
                <w:szCs w:val="18"/>
              </w:rPr>
              <w:t>11,7</w:t>
            </w:r>
          </w:p>
        </w:tc>
      </w:tr>
      <w:tr w:rsidR="00E9129B" w:rsidRPr="00877506" w:rsidTr="00304178">
        <w:tc>
          <w:tcPr>
            <w:tcW w:w="2947" w:type="dxa"/>
            <w:tcBorders>
              <w:bottom w:val="single" w:sz="4" w:space="0" w:color="auto"/>
            </w:tcBorders>
            <w:shd w:val="clear" w:color="auto" w:fill="D9D9D9" w:themeFill="background1" w:themeFillShade="D9"/>
          </w:tcPr>
          <w:p w:rsidR="00E9129B" w:rsidRPr="00877506" w:rsidRDefault="00E9129B" w:rsidP="00CE500F">
            <w:pPr>
              <w:spacing w:line="280" w:lineRule="exact"/>
              <w:rPr>
                <w:b/>
                <w:sz w:val="18"/>
                <w:szCs w:val="18"/>
              </w:rPr>
            </w:pPr>
            <w:r w:rsidRPr="00877506">
              <w:rPr>
                <w:b/>
                <w:sz w:val="18"/>
                <w:szCs w:val="18"/>
              </w:rPr>
              <w:t>Segment Personenversicherung</w:t>
            </w:r>
          </w:p>
        </w:tc>
        <w:tc>
          <w:tcPr>
            <w:tcW w:w="1584" w:type="dxa"/>
            <w:tcBorders>
              <w:bottom w:val="single" w:sz="4" w:space="0" w:color="auto"/>
            </w:tcBorders>
            <w:shd w:val="clear" w:color="auto" w:fill="D9D9D9" w:themeFill="background1" w:themeFillShade="D9"/>
          </w:tcPr>
          <w:p w:rsidR="00E9129B" w:rsidRPr="00877506" w:rsidRDefault="00E9129B" w:rsidP="00CE500F">
            <w:pPr>
              <w:spacing w:line="280" w:lineRule="exact"/>
              <w:jc w:val="right"/>
              <w:rPr>
                <w:b/>
                <w:sz w:val="18"/>
                <w:szCs w:val="18"/>
              </w:rPr>
            </w:pPr>
          </w:p>
        </w:tc>
        <w:tc>
          <w:tcPr>
            <w:tcW w:w="2694" w:type="dxa"/>
            <w:tcBorders>
              <w:bottom w:val="single" w:sz="4" w:space="0" w:color="auto"/>
            </w:tcBorders>
            <w:shd w:val="clear" w:color="auto" w:fill="D9D9D9" w:themeFill="background1" w:themeFillShade="D9"/>
          </w:tcPr>
          <w:p w:rsidR="00E9129B" w:rsidRPr="00877506" w:rsidRDefault="00E9129B" w:rsidP="00CE500F">
            <w:pPr>
              <w:spacing w:line="280" w:lineRule="exact"/>
              <w:jc w:val="right"/>
              <w:rPr>
                <w:b/>
                <w:sz w:val="18"/>
                <w:szCs w:val="18"/>
              </w:rPr>
            </w:pPr>
          </w:p>
        </w:tc>
        <w:tc>
          <w:tcPr>
            <w:tcW w:w="1837" w:type="dxa"/>
            <w:tcBorders>
              <w:bottom w:val="single" w:sz="4" w:space="0" w:color="auto"/>
            </w:tcBorders>
            <w:shd w:val="clear" w:color="auto" w:fill="D9D9D9" w:themeFill="background1" w:themeFillShade="D9"/>
          </w:tcPr>
          <w:p w:rsidR="00E9129B" w:rsidRPr="00877506" w:rsidRDefault="00E9129B" w:rsidP="00CE500F">
            <w:pPr>
              <w:spacing w:line="280" w:lineRule="exact"/>
              <w:jc w:val="right"/>
              <w:rPr>
                <w:b/>
                <w:sz w:val="18"/>
                <w:szCs w:val="18"/>
              </w:rPr>
            </w:pPr>
          </w:p>
        </w:tc>
      </w:tr>
      <w:tr w:rsidR="00E9129B" w:rsidRPr="00877506" w:rsidTr="00304178">
        <w:tc>
          <w:tcPr>
            <w:tcW w:w="2947" w:type="dxa"/>
          </w:tcPr>
          <w:p w:rsidR="00E9129B" w:rsidRPr="00877506" w:rsidRDefault="00E9129B" w:rsidP="00CE500F">
            <w:pPr>
              <w:spacing w:line="280" w:lineRule="exact"/>
              <w:rPr>
                <w:sz w:val="18"/>
                <w:szCs w:val="18"/>
              </w:rPr>
            </w:pPr>
            <w:r w:rsidRPr="00877506">
              <w:rPr>
                <w:sz w:val="18"/>
                <w:szCs w:val="18"/>
              </w:rPr>
              <w:t>Gebuchte Bruttobeiträge Lebensversicherung</w:t>
            </w:r>
          </w:p>
        </w:tc>
        <w:tc>
          <w:tcPr>
            <w:tcW w:w="1584" w:type="dxa"/>
            <w:vAlign w:val="bottom"/>
          </w:tcPr>
          <w:p w:rsidR="00E9129B" w:rsidRPr="00877506" w:rsidRDefault="00E9129B" w:rsidP="00CE500F">
            <w:pPr>
              <w:spacing w:line="280" w:lineRule="exact"/>
              <w:jc w:val="right"/>
              <w:rPr>
                <w:sz w:val="18"/>
                <w:szCs w:val="18"/>
              </w:rPr>
            </w:pPr>
            <w:r w:rsidRPr="00877506">
              <w:rPr>
                <w:sz w:val="18"/>
                <w:szCs w:val="18"/>
              </w:rPr>
              <w:t>In Mrd. €</w:t>
            </w:r>
          </w:p>
        </w:tc>
        <w:tc>
          <w:tcPr>
            <w:tcW w:w="2694" w:type="dxa"/>
            <w:vAlign w:val="bottom"/>
          </w:tcPr>
          <w:p w:rsidR="00E9129B" w:rsidRPr="00877506" w:rsidRDefault="00E9129B" w:rsidP="00CE500F">
            <w:pPr>
              <w:spacing w:line="280" w:lineRule="exact"/>
              <w:jc w:val="right"/>
              <w:rPr>
                <w:sz w:val="18"/>
                <w:szCs w:val="18"/>
              </w:rPr>
            </w:pPr>
            <w:r w:rsidRPr="00877506">
              <w:rPr>
                <w:sz w:val="18"/>
                <w:szCs w:val="18"/>
              </w:rPr>
              <w:t>2,10</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2,18</w:t>
            </w:r>
          </w:p>
        </w:tc>
      </w:tr>
      <w:tr w:rsidR="00E9129B" w:rsidRPr="00877506" w:rsidTr="00304178">
        <w:tc>
          <w:tcPr>
            <w:tcW w:w="2947" w:type="dxa"/>
          </w:tcPr>
          <w:p w:rsidR="00E9129B" w:rsidRPr="00877506" w:rsidRDefault="00E9129B" w:rsidP="00CE500F">
            <w:pPr>
              <w:spacing w:line="280" w:lineRule="exact"/>
              <w:rPr>
                <w:sz w:val="18"/>
                <w:szCs w:val="18"/>
              </w:rPr>
            </w:pPr>
            <w:r w:rsidRPr="00877506">
              <w:rPr>
                <w:sz w:val="18"/>
                <w:szCs w:val="18"/>
              </w:rPr>
              <w:t>Einmalbeitrag Lebensversicherung</w:t>
            </w:r>
          </w:p>
        </w:tc>
        <w:tc>
          <w:tcPr>
            <w:tcW w:w="1584" w:type="dxa"/>
            <w:vAlign w:val="bottom"/>
          </w:tcPr>
          <w:p w:rsidR="00E9129B" w:rsidRPr="00877506" w:rsidRDefault="00E9129B" w:rsidP="00CE500F">
            <w:pPr>
              <w:spacing w:line="280" w:lineRule="exact"/>
              <w:jc w:val="right"/>
              <w:rPr>
                <w:sz w:val="18"/>
                <w:szCs w:val="18"/>
              </w:rPr>
            </w:pPr>
            <w:r w:rsidRPr="00877506">
              <w:rPr>
                <w:sz w:val="18"/>
                <w:szCs w:val="18"/>
              </w:rPr>
              <w:t>In Mio. €</w:t>
            </w:r>
          </w:p>
        </w:tc>
        <w:tc>
          <w:tcPr>
            <w:tcW w:w="2694" w:type="dxa"/>
            <w:vAlign w:val="bottom"/>
          </w:tcPr>
          <w:p w:rsidR="00E9129B" w:rsidRPr="00877506" w:rsidRDefault="00E9129B" w:rsidP="00CE500F">
            <w:pPr>
              <w:spacing w:line="280" w:lineRule="exact"/>
              <w:jc w:val="right"/>
              <w:rPr>
                <w:sz w:val="18"/>
                <w:szCs w:val="18"/>
              </w:rPr>
            </w:pPr>
            <w:r w:rsidRPr="00877506">
              <w:rPr>
                <w:sz w:val="18"/>
                <w:szCs w:val="18"/>
              </w:rPr>
              <w:t>542,6</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564,6</w:t>
            </w:r>
          </w:p>
        </w:tc>
      </w:tr>
      <w:tr w:rsidR="00E9129B" w:rsidRPr="00877506" w:rsidTr="00304178">
        <w:tc>
          <w:tcPr>
            <w:tcW w:w="2947" w:type="dxa"/>
          </w:tcPr>
          <w:p w:rsidR="00E9129B" w:rsidRPr="00877506" w:rsidRDefault="00E9129B" w:rsidP="00CE500F">
            <w:pPr>
              <w:spacing w:line="280" w:lineRule="exact"/>
              <w:rPr>
                <w:sz w:val="18"/>
                <w:szCs w:val="18"/>
              </w:rPr>
            </w:pPr>
            <w:r w:rsidRPr="00877506">
              <w:rPr>
                <w:sz w:val="18"/>
                <w:szCs w:val="18"/>
              </w:rPr>
              <w:t>Laufender Beitrag Lebensversicherung</w:t>
            </w:r>
          </w:p>
        </w:tc>
        <w:tc>
          <w:tcPr>
            <w:tcW w:w="1584" w:type="dxa"/>
            <w:vAlign w:val="bottom"/>
          </w:tcPr>
          <w:p w:rsidR="00E9129B" w:rsidRPr="00877506" w:rsidRDefault="00E9129B" w:rsidP="00CE500F">
            <w:pPr>
              <w:spacing w:line="280" w:lineRule="exact"/>
              <w:jc w:val="right"/>
              <w:rPr>
                <w:sz w:val="18"/>
                <w:szCs w:val="18"/>
              </w:rPr>
            </w:pPr>
            <w:r w:rsidRPr="00877506">
              <w:rPr>
                <w:sz w:val="18"/>
                <w:szCs w:val="18"/>
              </w:rPr>
              <w:t>In Mio. €</w:t>
            </w:r>
          </w:p>
        </w:tc>
        <w:tc>
          <w:tcPr>
            <w:tcW w:w="2694" w:type="dxa"/>
            <w:vAlign w:val="bottom"/>
          </w:tcPr>
          <w:p w:rsidR="00E9129B" w:rsidRPr="00877506" w:rsidRDefault="00E9129B" w:rsidP="00CE500F">
            <w:pPr>
              <w:spacing w:line="280" w:lineRule="exact"/>
              <w:jc w:val="right"/>
              <w:rPr>
                <w:sz w:val="18"/>
                <w:szCs w:val="18"/>
              </w:rPr>
            </w:pPr>
            <w:r w:rsidRPr="00877506">
              <w:rPr>
                <w:sz w:val="18"/>
                <w:szCs w:val="18"/>
              </w:rPr>
              <w:t>105,5</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101,9</w:t>
            </w:r>
          </w:p>
        </w:tc>
      </w:tr>
      <w:tr w:rsidR="00E9129B" w:rsidRPr="00877506" w:rsidTr="00304178">
        <w:tc>
          <w:tcPr>
            <w:tcW w:w="2947" w:type="dxa"/>
          </w:tcPr>
          <w:p w:rsidR="00E9129B" w:rsidRPr="00877506" w:rsidRDefault="00E9129B" w:rsidP="00CE500F">
            <w:pPr>
              <w:spacing w:line="280" w:lineRule="exact"/>
              <w:rPr>
                <w:sz w:val="18"/>
                <w:szCs w:val="18"/>
              </w:rPr>
            </w:pPr>
            <w:r w:rsidRPr="00877506">
              <w:rPr>
                <w:sz w:val="18"/>
                <w:szCs w:val="18"/>
              </w:rPr>
              <w:t>Gebuchte Bruttobeiträge Krankenversicherung</w:t>
            </w:r>
          </w:p>
        </w:tc>
        <w:tc>
          <w:tcPr>
            <w:tcW w:w="1584" w:type="dxa"/>
            <w:vAlign w:val="bottom"/>
          </w:tcPr>
          <w:p w:rsidR="00E9129B" w:rsidRPr="00877506" w:rsidRDefault="00E9129B" w:rsidP="00CE500F">
            <w:pPr>
              <w:spacing w:line="280" w:lineRule="exact"/>
              <w:jc w:val="right"/>
              <w:rPr>
                <w:sz w:val="18"/>
                <w:szCs w:val="18"/>
              </w:rPr>
            </w:pPr>
            <w:r w:rsidRPr="00877506">
              <w:rPr>
                <w:sz w:val="18"/>
                <w:szCs w:val="18"/>
              </w:rPr>
              <w:t>In Mio. €</w:t>
            </w:r>
          </w:p>
        </w:tc>
        <w:tc>
          <w:tcPr>
            <w:tcW w:w="2694" w:type="dxa"/>
            <w:vAlign w:val="bottom"/>
          </w:tcPr>
          <w:p w:rsidR="00E9129B" w:rsidRPr="00877506" w:rsidRDefault="00E9129B" w:rsidP="00CE500F">
            <w:pPr>
              <w:spacing w:line="280" w:lineRule="exact"/>
              <w:jc w:val="right"/>
              <w:rPr>
                <w:sz w:val="18"/>
                <w:szCs w:val="18"/>
              </w:rPr>
            </w:pPr>
            <w:r w:rsidRPr="00877506">
              <w:rPr>
                <w:sz w:val="18"/>
                <w:szCs w:val="18"/>
              </w:rPr>
              <w:t>216</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198</w:t>
            </w:r>
          </w:p>
        </w:tc>
      </w:tr>
      <w:tr w:rsidR="00E9129B" w:rsidRPr="00877506" w:rsidTr="00304178">
        <w:tc>
          <w:tcPr>
            <w:tcW w:w="2947" w:type="dxa"/>
            <w:tcBorders>
              <w:bottom w:val="single" w:sz="4" w:space="0" w:color="auto"/>
            </w:tcBorders>
          </w:tcPr>
          <w:p w:rsidR="00E9129B" w:rsidRPr="00877506" w:rsidRDefault="00E9129B" w:rsidP="00CE500F">
            <w:pPr>
              <w:spacing w:line="280" w:lineRule="exact"/>
              <w:rPr>
                <w:sz w:val="18"/>
                <w:szCs w:val="18"/>
              </w:rPr>
            </w:pPr>
            <w:r w:rsidRPr="00877506">
              <w:rPr>
                <w:sz w:val="18"/>
                <w:szCs w:val="18"/>
              </w:rPr>
              <w:t>Jahresneubeitrag Krankenversicherung</w:t>
            </w:r>
          </w:p>
        </w:tc>
        <w:tc>
          <w:tcPr>
            <w:tcW w:w="1584" w:type="dxa"/>
            <w:tcBorders>
              <w:bottom w:val="single" w:sz="4" w:space="0" w:color="auto"/>
            </w:tcBorders>
            <w:vAlign w:val="bottom"/>
          </w:tcPr>
          <w:p w:rsidR="00E9129B" w:rsidRPr="00877506" w:rsidRDefault="00E9129B" w:rsidP="00CE500F">
            <w:pPr>
              <w:spacing w:line="280" w:lineRule="exact"/>
              <w:jc w:val="right"/>
              <w:rPr>
                <w:sz w:val="18"/>
                <w:szCs w:val="18"/>
              </w:rPr>
            </w:pPr>
            <w:r w:rsidRPr="00877506">
              <w:rPr>
                <w:sz w:val="18"/>
                <w:szCs w:val="18"/>
              </w:rPr>
              <w:t>In Mio. €</w:t>
            </w:r>
          </w:p>
        </w:tc>
        <w:tc>
          <w:tcPr>
            <w:tcW w:w="2694" w:type="dxa"/>
            <w:tcBorders>
              <w:bottom w:val="single" w:sz="4" w:space="0" w:color="auto"/>
            </w:tcBorders>
            <w:vAlign w:val="bottom"/>
          </w:tcPr>
          <w:p w:rsidR="00E9129B" w:rsidRPr="00877506" w:rsidRDefault="00E9129B" w:rsidP="00CE500F">
            <w:pPr>
              <w:spacing w:line="280" w:lineRule="exact"/>
              <w:jc w:val="right"/>
              <w:rPr>
                <w:sz w:val="18"/>
                <w:szCs w:val="18"/>
              </w:rPr>
            </w:pPr>
            <w:r w:rsidRPr="00877506">
              <w:rPr>
                <w:sz w:val="18"/>
                <w:szCs w:val="18"/>
              </w:rPr>
              <w:t>11,1</w:t>
            </w:r>
          </w:p>
        </w:tc>
        <w:tc>
          <w:tcPr>
            <w:tcW w:w="1837" w:type="dxa"/>
            <w:tcBorders>
              <w:bottom w:val="single" w:sz="4" w:space="0" w:color="auto"/>
            </w:tcBorders>
            <w:vAlign w:val="bottom"/>
          </w:tcPr>
          <w:p w:rsidR="00E9129B" w:rsidRPr="00877506" w:rsidRDefault="00E9129B" w:rsidP="00CE500F">
            <w:pPr>
              <w:spacing w:line="280" w:lineRule="exact"/>
              <w:jc w:val="right"/>
              <w:rPr>
                <w:sz w:val="18"/>
                <w:szCs w:val="18"/>
              </w:rPr>
            </w:pPr>
            <w:r w:rsidRPr="00877506">
              <w:rPr>
                <w:sz w:val="18"/>
                <w:szCs w:val="18"/>
              </w:rPr>
              <w:t>12,6</w:t>
            </w:r>
          </w:p>
        </w:tc>
      </w:tr>
      <w:tr w:rsidR="00E9129B" w:rsidRPr="00877506" w:rsidTr="00304178">
        <w:tc>
          <w:tcPr>
            <w:tcW w:w="2947" w:type="dxa"/>
            <w:shd w:val="clear" w:color="auto" w:fill="D9D9D9" w:themeFill="background1" w:themeFillShade="D9"/>
          </w:tcPr>
          <w:p w:rsidR="00E9129B" w:rsidRPr="00877506" w:rsidRDefault="00E9129B" w:rsidP="00CE500F">
            <w:pPr>
              <w:spacing w:line="280" w:lineRule="exact"/>
              <w:rPr>
                <w:b/>
                <w:sz w:val="18"/>
                <w:szCs w:val="18"/>
              </w:rPr>
            </w:pPr>
            <w:r w:rsidRPr="00877506">
              <w:rPr>
                <w:b/>
                <w:sz w:val="18"/>
                <w:szCs w:val="18"/>
              </w:rPr>
              <w:t>Segment Schaden-Unfallversicherung</w:t>
            </w:r>
          </w:p>
        </w:tc>
        <w:tc>
          <w:tcPr>
            <w:tcW w:w="1584" w:type="dxa"/>
            <w:shd w:val="clear" w:color="auto" w:fill="D9D9D9" w:themeFill="background1" w:themeFillShade="D9"/>
          </w:tcPr>
          <w:p w:rsidR="00E9129B" w:rsidRPr="00877506" w:rsidRDefault="00E9129B" w:rsidP="00CE500F">
            <w:pPr>
              <w:spacing w:line="280" w:lineRule="exact"/>
              <w:jc w:val="right"/>
              <w:rPr>
                <w:b/>
                <w:sz w:val="18"/>
                <w:szCs w:val="18"/>
              </w:rPr>
            </w:pPr>
          </w:p>
        </w:tc>
        <w:tc>
          <w:tcPr>
            <w:tcW w:w="2694" w:type="dxa"/>
            <w:shd w:val="clear" w:color="auto" w:fill="D9D9D9" w:themeFill="background1" w:themeFillShade="D9"/>
          </w:tcPr>
          <w:p w:rsidR="00E9129B" w:rsidRPr="00877506" w:rsidRDefault="00E9129B" w:rsidP="00CE500F">
            <w:pPr>
              <w:spacing w:line="280" w:lineRule="exact"/>
              <w:jc w:val="right"/>
              <w:rPr>
                <w:b/>
                <w:sz w:val="18"/>
                <w:szCs w:val="18"/>
              </w:rPr>
            </w:pPr>
          </w:p>
        </w:tc>
        <w:tc>
          <w:tcPr>
            <w:tcW w:w="1837" w:type="dxa"/>
            <w:shd w:val="clear" w:color="auto" w:fill="D9D9D9" w:themeFill="background1" w:themeFillShade="D9"/>
          </w:tcPr>
          <w:p w:rsidR="00E9129B" w:rsidRPr="00877506" w:rsidRDefault="00E9129B" w:rsidP="00CE500F">
            <w:pPr>
              <w:spacing w:line="280" w:lineRule="exact"/>
              <w:jc w:val="right"/>
              <w:rPr>
                <w:b/>
                <w:sz w:val="18"/>
                <w:szCs w:val="18"/>
              </w:rPr>
            </w:pPr>
          </w:p>
        </w:tc>
      </w:tr>
      <w:tr w:rsidR="00E9129B" w:rsidRPr="00877506" w:rsidTr="00304178">
        <w:tc>
          <w:tcPr>
            <w:tcW w:w="2947" w:type="dxa"/>
          </w:tcPr>
          <w:p w:rsidR="00E9129B" w:rsidRPr="00877506" w:rsidRDefault="00E9129B" w:rsidP="00CE500F">
            <w:pPr>
              <w:spacing w:line="280" w:lineRule="exact"/>
              <w:rPr>
                <w:sz w:val="18"/>
                <w:szCs w:val="18"/>
              </w:rPr>
            </w:pPr>
            <w:r w:rsidRPr="00877506">
              <w:rPr>
                <w:sz w:val="18"/>
                <w:szCs w:val="18"/>
              </w:rPr>
              <w:t>Gebuchte Brutto-Beiträge</w:t>
            </w:r>
          </w:p>
        </w:tc>
        <w:tc>
          <w:tcPr>
            <w:tcW w:w="1584" w:type="dxa"/>
            <w:vAlign w:val="bottom"/>
          </w:tcPr>
          <w:p w:rsidR="00E9129B" w:rsidRPr="00877506" w:rsidRDefault="00E9129B" w:rsidP="00CE500F">
            <w:pPr>
              <w:spacing w:line="280" w:lineRule="exact"/>
              <w:jc w:val="right"/>
              <w:rPr>
                <w:sz w:val="18"/>
                <w:szCs w:val="18"/>
              </w:rPr>
            </w:pPr>
            <w:r w:rsidRPr="00877506">
              <w:rPr>
                <w:sz w:val="18"/>
                <w:szCs w:val="18"/>
              </w:rPr>
              <w:t>In Mrd. €</w:t>
            </w:r>
          </w:p>
        </w:tc>
        <w:tc>
          <w:tcPr>
            <w:tcW w:w="2694" w:type="dxa"/>
            <w:vAlign w:val="bottom"/>
          </w:tcPr>
          <w:p w:rsidR="00E9129B" w:rsidRPr="00877506" w:rsidRDefault="00E9129B" w:rsidP="00CE500F">
            <w:pPr>
              <w:spacing w:line="280" w:lineRule="exact"/>
              <w:jc w:val="right"/>
              <w:rPr>
                <w:sz w:val="18"/>
                <w:szCs w:val="18"/>
              </w:rPr>
            </w:pPr>
            <w:r w:rsidRPr="00877506">
              <w:rPr>
                <w:sz w:val="18"/>
                <w:szCs w:val="18"/>
              </w:rPr>
              <w:t>1,68</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1,64</w:t>
            </w:r>
          </w:p>
        </w:tc>
      </w:tr>
      <w:tr w:rsidR="00E9129B" w:rsidRPr="00877506" w:rsidTr="00304178">
        <w:tc>
          <w:tcPr>
            <w:tcW w:w="2947" w:type="dxa"/>
          </w:tcPr>
          <w:p w:rsidR="00E9129B" w:rsidRPr="00877506" w:rsidRDefault="00E9129B" w:rsidP="00CE500F">
            <w:pPr>
              <w:spacing w:line="280" w:lineRule="exact"/>
              <w:rPr>
                <w:sz w:val="18"/>
                <w:szCs w:val="18"/>
              </w:rPr>
            </w:pPr>
            <w:r w:rsidRPr="00877506">
              <w:rPr>
                <w:sz w:val="18"/>
                <w:szCs w:val="18"/>
              </w:rPr>
              <w:t>Neubeiträge (gemessen am Jahresbestandsbeitrag)</w:t>
            </w:r>
          </w:p>
        </w:tc>
        <w:tc>
          <w:tcPr>
            <w:tcW w:w="1584" w:type="dxa"/>
            <w:vAlign w:val="bottom"/>
          </w:tcPr>
          <w:p w:rsidR="00E9129B" w:rsidRPr="00877506" w:rsidRDefault="00E9129B" w:rsidP="00CE500F">
            <w:pPr>
              <w:spacing w:line="280" w:lineRule="exact"/>
              <w:jc w:val="right"/>
              <w:rPr>
                <w:sz w:val="18"/>
                <w:szCs w:val="18"/>
              </w:rPr>
            </w:pPr>
            <w:r w:rsidRPr="00877506">
              <w:rPr>
                <w:sz w:val="18"/>
                <w:szCs w:val="18"/>
              </w:rPr>
              <w:t>In Mio. €</w:t>
            </w:r>
          </w:p>
        </w:tc>
        <w:tc>
          <w:tcPr>
            <w:tcW w:w="2694" w:type="dxa"/>
            <w:vAlign w:val="bottom"/>
          </w:tcPr>
          <w:p w:rsidR="00E9129B" w:rsidRPr="00877506" w:rsidRDefault="00E9129B" w:rsidP="00CE500F">
            <w:pPr>
              <w:spacing w:line="280" w:lineRule="exact"/>
              <w:jc w:val="right"/>
              <w:rPr>
                <w:sz w:val="18"/>
                <w:szCs w:val="18"/>
              </w:rPr>
            </w:pPr>
            <w:r w:rsidRPr="00877506">
              <w:rPr>
                <w:sz w:val="18"/>
                <w:szCs w:val="18"/>
              </w:rPr>
              <w:t>207,9</w:t>
            </w:r>
          </w:p>
        </w:tc>
        <w:tc>
          <w:tcPr>
            <w:tcW w:w="1837" w:type="dxa"/>
            <w:vAlign w:val="bottom"/>
          </w:tcPr>
          <w:p w:rsidR="00E9129B" w:rsidRPr="00877506" w:rsidRDefault="00E9129B" w:rsidP="00CE500F">
            <w:pPr>
              <w:spacing w:line="280" w:lineRule="exact"/>
              <w:jc w:val="right"/>
              <w:rPr>
                <w:sz w:val="18"/>
                <w:szCs w:val="18"/>
              </w:rPr>
            </w:pPr>
            <w:r w:rsidRPr="00877506">
              <w:rPr>
                <w:sz w:val="18"/>
                <w:szCs w:val="18"/>
              </w:rPr>
              <w:t>209,8</w:t>
            </w:r>
          </w:p>
        </w:tc>
      </w:tr>
      <w:tr w:rsidR="00E9129B" w:rsidRPr="00877506" w:rsidTr="00304178">
        <w:tc>
          <w:tcPr>
            <w:tcW w:w="2947" w:type="dxa"/>
            <w:tcBorders>
              <w:bottom w:val="single" w:sz="4" w:space="0" w:color="auto"/>
            </w:tcBorders>
          </w:tcPr>
          <w:p w:rsidR="00E9129B" w:rsidRPr="00877506" w:rsidRDefault="00E9129B" w:rsidP="00CE500F">
            <w:pPr>
              <w:spacing w:line="280" w:lineRule="exact"/>
              <w:rPr>
                <w:sz w:val="18"/>
                <w:szCs w:val="18"/>
              </w:rPr>
            </w:pPr>
            <w:r w:rsidRPr="00877506">
              <w:rPr>
                <w:sz w:val="18"/>
                <w:szCs w:val="18"/>
              </w:rPr>
              <w:t>Brutto-Schaden/Kostenquote</w:t>
            </w:r>
          </w:p>
        </w:tc>
        <w:tc>
          <w:tcPr>
            <w:tcW w:w="1584" w:type="dxa"/>
            <w:tcBorders>
              <w:bottom w:val="single" w:sz="4" w:space="0" w:color="auto"/>
            </w:tcBorders>
            <w:vAlign w:val="bottom"/>
          </w:tcPr>
          <w:p w:rsidR="00E9129B" w:rsidRPr="00877506" w:rsidRDefault="00E9129B" w:rsidP="00CE500F">
            <w:pPr>
              <w:spacing w:line="280" w:lineRule="exact"/>
              <w:jc w:val="right"/>
              <w:rPr>
                <w:sz w:val="18"/>
                <w:szCs w:val="18"/>
              </w:rPr>
            </w:pPr>
            <w:r w:rsidRPr="00877506">
              <w:rPr>
                <w:sz w:val="18"/>
                <w:szCs w:val="18"/>
              </w:rPr>
              <w:t>In %</w:t>
            </w:r>
          </w:p>
        </w:tc>
        <w:tc>
          <w:tcPr>
            <w:tcW w:w="2694" w:type="dxa"/>
            <w:tcBorders>
              <w:bottom w:val="single" w:sz="4" w:space="0" w:color="auto"/>
            </w:tcBorders>
            <w:vAlign w:val="bottom"/>
          </w:tcPr>
          <w:p w:rsidR="00E9129B" w:rsidRPr="00877506" w:rsidRDefault="00E9129B" w:rsidP="00CE500F">
            <w:pPr>
              <w:spacing w:line="280" w:lineRule="exact"/>
              <w:jc w:val="right"/>
              <w:rPr>
                <w:sz w:val="18"/>
                <w:szCs w:val="18"/>
              </w:rPr>
            </w:pPr>
            <w:r w:rsidRPr="00877506">
              <w:rPr>
                <w:sz w:val="18"/>
                <w:szCs w:val="18"/>
              </w:rPr>
              <w:t>90,1</w:t>
            </w:r>
          </w:p>
        </w:tc>
        <w:tc>
          <w:tcPr>
            <w:tcW w:w="1837" w:type="dxa"/>
            <w:tcBorders>
              <w:bottom w:val="single" w:sz="4" w:space="0" w:color="auto"/>
            </w:tcBorders>
            <w:vAlign w:val="bottom"/>
          </w:tcPr>
          <w:p w:rsidR="00E9129B" w:rsidRPr="00877506" w:rsidRDefault="00E9129B" w:rsidP="00CE500F">
            <w:pPr>
              <w:spacing w:line="280" w:lineRule="exact"/>
              <w:jc w:val="right"/>
              <w:rPr>
                <w:sz w:val="18"/>
                <w:szCs w:val="18"/>
              </w:rPr>
            </w:pPr>
            <w:r w:rsidRPr="00877506">
              <w:rPr>
                <w:sz w:val="18"/>
                <w:szCs w:val="18"/>
              </w:rPr>
              <w:t>92,1</w:t>
            </w:r>
          </w:p>
        </w:tc>
      </w:tr>
      <w:tr w:rsidR="00E9129B" w:rsidRPr="00877506" w:rsidTr="00304178">
        <w:tc>
          <w:tcPr>
            <w:tcW w:w="2947" w:type="dxa"/>
            <w:shd w:val="clear" w:color="auto" w:fill="D9D9D9" w:themeFill="background1" w:themeFillShade="D9"/>
          </w:tcPr>
          <w:p w:rsidR="00E9129B" w:rsidRPr="00877506" w:rsidRDefault="00E9129B" w:rsidP="00CE500F">
            <w:pPr>
              <w:spacing w:line="280" w:lineRule="exact"/>
              <w:rPr>
                <w:sz w:val="18"/>
                <w:szCs w:val="18"/>
              </w:rPr>
            </w:pPr>
          </w:p>
        </w:tc>
        <w:tc>
          <w:tcPr>
            <w:tcW w:w="1584" w:type="dxa"/>
            <w:shd w:val="clear" w:color="auto" w:fill="D9D9D9" w:themeFill="background1" w:themeFillShade="D9"/>
          </w:tcPr>
          <w:p w:rsidR="00E9129B" w:rsidRPr="00877506" w:rsidRDefault="00E9129B" w:rsidP="00CE500F">
            <w:pPr>
              <w:spacing w:line="280" w:lineRule="exact"/>
              <w:jc w:val="right"/>
              <w:rPr>
                <w:sz w:val="18"/>
                <w:szCs w:val="18"/>
              </w:rPr>
            </w:pPr>
          </w:p>
        </w:tc>
        <w:tc>
          <w:tcPr>
            <w:tcW w:w="2694" w:type="dxa"/>
            <w:shd w:val="clear" w:color="auto" w:fill="D9D9D9" w:themeFill="background1" w:themeFillShade="D9"/>
          </w:tcPr>
          <w:p w:rsidR="00E9129B" w:rsidRPr="00877506" w:rsidRDefault="00E9129B" w:rsidP="00CE500F">
            <w:pPr>
              <w:spacing w:line="280" w:lineRule="exact"/>
              <w:jc w:val="right"/>
              <w:rPr>
                <w:sz w:val="18"/>
                <w:szCs w:val="18"/>
              </w:rPr>
            </w:pPr>
          </w:p>
        </w:tc>
        <w:tc>
          <w:tcPr>
            <w:tcW w:w="1837" w:type="dxa"/>
            <w:shd w:val="clear" w:color="auto" w:fill="D9D9D9" w:themeFill="background1" w:themeFillShade="D9"/>
          </w:tcPr>
          <w:p w:rsidR="00E9129B" w:rsidRPr="00877506" w:rsidRDefault="00E9129B" w:rsidP="00CE500F">
            <w:pPr>
              <w:spacing w:line="280" w:lineRule="exact"/>
              <w:jc w:val="right"/>
              <w:rPr>
                <w:sz w:val="18"/>
                <w:szCs w:val="18"/>
              </w:rPr>
            </w:pPr>
          </w:p>
        </w:tc>
      </w:tr>
    </w:tbl>
    <w:p w:rsidR="00E9129B" w:rsidRPr="001651E9" w:rsidRDefault="00E9129B" w:rsidP="00877506">
      <w:pPr>
        <w:spacing w:after="180" w:line="310" w:lineRule="exact"/>
        <w:rPr>
          <w:rFonts w:eastAsia="Calibri" w:cs="Arial"/>
          <w:szCs w:val="22"/>
          <w:lang w:eastAsia="en-US"/>
        </w:rPr>
      </w:pPr>
    </w:p>
    <w:sectPr w:rsidR="00E9129B" w:rsidRPr="001651E9" w:rsidSect="009349EA">
      <w:headerReference w:type="default" r:id="rId11"/>
      <w:footerReference w:type="default" r:id="rId12"/>
      <w:type w:val="continuous"/>
      <w:pgSz w:w="11906" w:h="16838"/>
      <w:pgMar w:top="1417" w:right="1417" w:bottom="1701" w:left="1417" w:header="708" w:footer="3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675" w:rsidRDefault="00C20675" w:rsidP="003A03C9">
      <w:r>
        <w:separator/>
      </w:r>
    </w:p>
  </w:endnote>
  <w:endnote w:type="continuationSeparator" w:id="0">
    <w:p w:rsidR="00C20675" w:rsidRDefault="00C20675" w:rsidP="003A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D4E" w:rsidRDefault="00E23D4E"/>
  <w:tbl>
    <w:tblPr>
      <w:tblStyle w:val="Tabellen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tblGrid>
    <w:tr w:rsidR="00136B8D" w:rsidRPr="00C71C72" w:rsidTr="008B23D8">
      <w:tc>
        <w:tcPr>
          <w:tcW w:w="3020" w:type="dxa"/>
        </w:tcPr>
        <w:p w:rsidR="00136B8D" w:rsidRPr="00C71C72" w:rsidRDefault="00136B8D" w:rsidP="00136B8D">
          <w:pPr>
            <w:rPr>
              <w:b/>
              <w:sz w:val="14"/>
            </w:rPr>
          </w:pPr>
          <w:r w:rsidRPr="008E2E18">
            <w:rPr>
              <w:b/>
              <w:sz w:val="14"/>
            </w:rPr>
            <w:t>Wüstenrot &amp; Württembergische AG</w:t>
          </w:r>
        </w:p>
      </w:tc>
      <w:tc>
        <w:tcPr>
          <w:tcW w:w="3021" w:type="dxa"/>
        </w:tcPr>
        <w:p w:rsidR="00136B8D" w:rsidRPr="00C71C72" w:rsidRDefault="00136B8D" w:rsidP="00136B8D">
          <w:pPr>
            <w:rPr>
              <w:b/>
              <w:sz w:val="14"/>
            </w:rPr>
          </w:pPr>
          <w:r w:rsidRPr="008E2E18">
            <w:rPr>
              <w:b/>
              <w:sz w:val="14"/>
            </w:rPr>
            <w:t>Ihr Ansprechpartner:</w:t>
          </w:r>
          <w:r>
            <w:rPr>
              <w:b/>
              <w:sz w:val="14"/>
            </w:rPr>
            <w:t xml:space="preserve"> </w:t>
          </w:r>
        </w:p>
      </w:tc>
    </w:tr>
    <w:tr w:rsidR="00136B8D" w:rsidRPr="00C71C72" w:rsidTr="008B23D8">
      <w:tc>
        <w:tcPr>
          <w:tcW w:w="3020" w:type="dxa"/>
        </w:tcPr>
        <w:p w:rsidR="00136B8D" w:rsidRPr="00C71C72" w:rsidRDefault="00136B8D" w:rsidP="00136B8D">
          <w:pPr>
            <w:rPr>
              <w:sz w:val="14"/>
            </w:rPr>
          </w:pPr>
          <w:r>
            <w:rPr>
              <w:sz w:val="14"/>
            </w:rPr>
            <w:t>Kommunikation</w:t>
          </w:r>
        </w:p>
      </w:tc>
      <w:tc>
        <w:tcPr>
          <w:tcW w:w="3021" w:type="dxa"/>
        </w:tcPr>
        <w:p w:rsidR="00136B8D" w:rsidRPr="00C71C72" w:rsidRDefault="00136B8D" w:rsidP="00136B8D">
          <w:pPr>
            <w:pStyle w:val="Fuzeile"/>
            <w:rPr>
              <w:sz w:val="14"/>
              <w:szCs w:val="14"/>
            </w:rPr>
          </w:pPr>
        </w:p>
      </w:tc>
    </w:tr>
    <w:tr w:rsidR="00136B8D" w:rsidRPr="00C71C72" w:rsidTr="008B23D8">
      <w:tc>
        <w:tcPr>
          <w:tcW w:w="3020" w:type="dxa"/>
        </w:tcPr>
        <w:p w:rsidR="00136B8D" w:rsidRPr="00C71C72" w:rsidRDefault="00136B8D" w:rsidP="00136B8D">
          <w:pPr>
            <w:rPr>
              <w:sz w:val="14"/>
            </w:rPr>
          </w:pPr>
          <w:r>
            <w:rPr>
              <w:sz w:val="14"/>
            </w:rPr>
            <w:t>Gutenbergstraße 30</w:t>
          </w:r>
        </w:p>
      </w:tc>
      <w:tc>
        <w:tcPr>
          <w:tcW w:w="3021" w:type="dxa"/>
        </w:tcPr>
        <w:p w:rsidR="00136B8D" w:rsidRPr="00C71C72" w:rsidRDefault="00136B8D" w:rsidP="00136B8D">
          <w:pPr>
            <w:pStyle w:val="Fuzeile"/>
            <w:rPr>
              <w:sz w:val="14"/>
              <w:szCs w:val="14"/>
            </w:rPr>
          </w:pPr>
          <w:r w:rsidRPr="008E2E18">
            <w:rPr>
              <w:b/>
              <w:sz w:val="14"/>
            </w:rPr>
            <w:t>Dr. Immo Dehnert</w:t>
          </w:r>
        </w:p>
      </w:tc>
    </w:tr>
    <w:tr w:rsidR="00136B8D" w:rsidRPr="00C71C72" w:rsidTr="008B23D8">
      <w:tc>
        <w:tcPr>
          <w:tcW w:w="3020" w:type="dxa"/>
        </w:tcPr>
        <w:p w:rsidR="00136B8D" w:rsidRPr="00C71C72" w:rsidRDefault="00136B8D" w:rsidP="00136B8D">
          <w:pPr>
            <w:rPr>
              <w:sz w:val="14"/>
            </w:rPr>
          </w:pPr>
          <w:r w:rsidRPr="008E2E18">
            <w:rPr>
              <w:sz w:val="14"/>
            </w:rPr>
            <w:t>70176</w:t>
          </w:r>
          <w:r>
            <w:rPr>
              <w:sz w:val="14"/>
            </w:rPr>
            <w:t xml:space="preserve"> Stuttgart</w:t>
          </w:r>
        </w:p>
      </w:tc>
      <w:tc>
        <w:tcPr>
          <w:tcW w:w="3021" w:type="dxa"/>
        </w:tcPr>
        <w:p w:rsidR="00136B8D" w:rsidRPr="00C71C72" w:rsidRDefault="00136B8D" w:rsidP="00136B8D">
          <w:pPr>
            <w:pStyle w:val="Fuzeile"/>
            <w:rPr>
              <w:sz w:val="14"/>
              <w:szCs w:val="14"/>
            </w:rPr>
          </w:pPr>
          <w:r w:rsidRPr="00F633C9">
            <w:rPr>
              <w:sz w:val="14"/>
            </w:rPr>
            <w:t>Leiter Kommunikation und Pressesprecher</w:t>
          </w:r>
        </w:p>
      </w:tc>
    </w:tr>
    <w:tr w:rsidR="00136B8D" w:rsidRPr="00C71C72" w:rsidTr="008B23D8">
      <w:tc>
        <w:tcPr>
          <w:tcW w:w="3020" w:type="dxa"/>
        </w:tcPr>
        <w:p w:rsidR="00136B8D" w:rsidRPr="00C71C72" w:rsidRDefault="00136B8D" w:rsidP="00136B8D">
          <w:pPr>
            <w:pStyle w:val="Fuzeile"/>
            <w:rPr>
              <w:sz w:val="14"/>
              <w:szCs w:val="14"/>
            </w:rPr>
          </w:pPr>
        </w:p>
      </w:tc>
      <w:tc>
        <w:tcPr>
          <w:tcW w:w="3021" w:type="dxa"/>
        </w:tcPr>
        <w:p w:rsidR="00136B8D" w:rsidRPr="00C71C72" w:rsidRDefault="00136B8D" w:rsidP="00136B8D">
          <w:pPr>
            <w:pStyle w:val="Fuzeile"/>
            <w:rPr>
              <w:sz w:val="14"/>
              <w:szCs w:val="14"/>
            </w:rPr>
          </w:pPr>
        </w:p>
      </w:tc>
    </w:tr>
    <w:tr w:rsidR="00136B8D" w:rsidRPr="00C71C72" w:rsidTr="008B23D8">
      <w:tc>
        <w:tcPr>
          <w:tcW w:w="3020" w:type="dxa"/>
        </w:tcPr>
        <w:p w:rsidR="00136B8D" w:rsidRPr="00C71C72" w:rsidRDefault="00136B8D" w:rsidP="00136B8D">
          <w:pPr>
            <w:pStyle w:val="Fuzeile"/>
            <w:rPr>
              <w:sz w:val="14"/>
              <w:szCs w:val="14"/>
            </w:rPr>
          </w:pPr>
        </w:p>
      </w:tc>
      <w:tc>
        <w:tcPr>
          <w:tcW w:w="3021" w:type="dxa"/>
        </w:tcPr>
        <w:p w:rsidR="00136B8D" w:rsidRPr="00C71C72" w:rsidRDefault="00136B8D" w:rsidP="00136B8D">
          <w:pPr>
            <w:rPr>
              <w:sz w:val="14"/>
            </w:rPr>
          </w:pPr>
          <w:r w:rsidRPr="008E2E18">
            <w:rPr>
              <w:sz w:val="14"/>
            </w:rPr>
            <w:t>Telefon: 0711 662-</w:t>
          </w:r>
          <w:r>
            <w:rPr>
              <w:sz w:val="14"/>
            </w:rPr>
            <w:t>721471</w:t>
          </w:r>
        </w:p>
      </w:tc>
    </w:tr>
    <w:tr w:rsidR="00136B8D" w:rsidRPr="00C71C72" w:rsidTr="008B23D8">
      <w:tc>
        <w:tcPr>
          <w:tcW w:w="3020" w:type="dxa"/>
        </w:tcPr>
        <w:p w:rsidR="00136B8D" w:rsidRPr="00C71C72" w:rsidRDefault="00136B8D" w:rsidP="00136B8D">
          <w:pPr>
            <w:pStyle w:val="Fuzeile"/>
            <w:rPr>
              <w:sz w:val="14"/>
              <w:szCs w:val="14"/>
            </w:rPr>
          </w:pPr>
          <w:r w:rsidRPr="008E2E18">
            <w:rPr>
              <w:sz w:val="14"/>
            </w:rPr>
            <w:t>Internet: http://www.ww-ag.com</w:t>
          </w:r>
        </w:p>
      </w:tc>
      <w:tc>
        <w:tcPr>
          <w:tcW w:w="3021" w:type="dxa"/>
        </w:tcPr>
        <w:p w:rsidR="00136B8D" w:rsidRPr="00C71C72" w:rsidRDefault="00136B8D" w:rsidP="00136B8D">
          <w:pPr>
            <w:pStyle w:val="Fuzeile"/>
            <w:rPr>
              <w:sz w:val="14"/>
              <w:szCs w:val="14"/>
            </w:rPr>
          </w:pPr>
          <w:r w:rsidRPr="008E2E18">
            <w:rPr>
              <w:sz w:val="14"/>
            </w:rPr>
            <w:t>E-Mail: immo.dehnert@ww-ag.com</w:t>
          </w:r>
        </w:p>
      </w:tc>
    </w:tr>
  </w:tbl>
  <w:p w:rsidR="00DD2AB8" w:rsidRDefault="001E3A96" w:rsidP="002A1140">
    <w:pPr>
      <w:pStyle w:val="Fuzeile"/>
      <w:tabs>
        <w:tab w:val="left" w:pos="5625"/>
      </w:tabs>
    </w:pPr>
    <w:r>
      <w:tab/>
    </w:r>
    <w:r>
      <w:tab/>
    </w:r>
    <w:r w:rsidR="002A1140">
      <w:tab/>
    </w:r>
    <w:r>
      <w:t xml:space="preserve">Seite </w:t>
    </w:r>
    <w:r>
      <w:rPr>
        <w:rStyle w:val="Seitenzahl"/>
      </w:rPr>
      <w:fldChar w:fldCharType="begin"/>
    </w:r>
    <w:r>
      <w:rPr>
        <w:rStyle w:val="Seitenzahl"/>
      </w:rPr>
      <w:instrText xml:space="preserve"> PAGE </w:instrText>
    </w:r>
    <w:r>
      <w:rPr>
        <w:rStyle w:val="Seitenzahl"/>
      </w:rPr>
      <w:fldChar w:fldCharType="separate"/>
    </w:r>
    <w:r w:rsidR="00EB1107">
      <w:rPr>
        <w:rStyle w:val="Seitenzahl"/>
        <w:noProof/>
      </w:rPr>
      <w:t>1</w:t>
    </w:r>
    <w:r>
      <w:rPr>
        <w:rStyle w:val="Seitenzahl"/>
      </w:rPr>
      <w:fldChar w:fldCharType="end"/>
    </w:r>
    <w:r>
      <w:t xml:space="preserve"> von </w:t>
    </w:r>
    <w:fldSimple w:instr=" NUMPAGES  \* MERGEFORMAT ">
      <w:r w:rsidR="00EB1107">
        <w:rPr>
          <w:noProof/>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022681"/>
      <w:docPartObj>
        <w:docPartGallery w:val="Page Numbers (Bottom of Page)"/>
        <w:docPartUnique/>
      </w:docPartObj>
    </w:sdtPr>
    <w:sdtEndPr/>
    <w:sdtContent>
      <w:p w:rsidR="0028138C" w:rsidRDefault="0028138C">
        <w:pPr>
          <w:pStyle w:val="Fuzeile"/>
          <w:jc w:val="right"/>
        </w:pPr>
        <w:r>
          <w:fldChar w:fldCharType="begin"/>
        </w:r>
        <w:r>
          <w:instrText>PAGE   \* MERGEFORMAT</w:instrText>
        </w:r>
        <w:r>
          <w:fldChar w:fldCharType="separate"/>
        </w:r>
        <w:r w:rsidR="00EB1107">
          <w:rPr>
            <w:noProof/>
          </w:rPr>
          <w:t>5</w:t>
        </w:r>
        <w:r>
          <w:fldChar w:fldCharType="end"/>
        </w:r>
      </w:p>
    </w:sdtContent>
  </w:sdt>
  <w:p w:rsidR="0028138C" w:rsidRDefault="0028138C" w:rsidP="002A1140">
    <w:pPr>
      <w:pStyle w:val="Fuzeile"/>
      <w:tabs>
        <w:tab w:val="left" w:pos="562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675" w:rsidRDefault="00C20675" w:rsidP="003A03C9">
      <w:r>
        <w:separator/>
      </w:r>
    </w:p>
  </w:footnote>
  <w:footnote w:type="continuationSeparator" w:id="0">
    <w:p w:rsidR="00C20675" w:rsidRDefault="00C20675" w:rsidP="003A0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C72" w:rsidRDefault="00C71C72">
    <w:pPr>
      <w:pStyle w:val="Kopfzeile"/>
    </w:pPr>
    <w:r>
      <w:tab/>
    </w:r>
    <w:r>
      <w:tab/>
    </w:r>
    <w:r>
      <w:rPr>
        <w:noProof/>
      </w:rPr>
      <w:drawing>
        <wp:inline distT="0" distB="0" distL="0" distR="0">
          <wp:extent cx="2139315" cy="396875"/>
          <wp:effectExtent l="0" t="0" r="0" b="3175"/>
          <wp:docPr id="27" name="Grafik 27" descr="Wüstenrot &amp; Württembergis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üstenrot &amp; Württembergis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315" cy="396875"/>
                  </a:xfrm>
                  <a:prstGeom prst="rect">
                    <a:avLst/>
                  </a:prstGeom>
                  <a:noFill/>
                  <a:ln>
                    <a:noFill/>
                  </a:ln>
                </pic:spPr>
              </pic:pic>
            </a:graphicData>
          </a:graphic>
        </wp:inline>
      </w:drawing>
    </w:r>
  </w:p>
  <w:p w:rsidR="00DD2AB8" w:rsidRDefault="00DD2AB8">
    <w:pPr>
      <w:pStyle w:val="Kopfzeile"/>
    </w:pPr>
  </w:p>
  <w:p w:rsidR="00DD2AB8" w:rsidRDefault="00DD2AB8">
    <w:pPr>
      <w:pStyle w:val="Kopfzeile"/>
    </w:pPr>
  </w:p>
  <w:p w:rsidR="00DD2AB8" w:rsidRDefault="00DD2AB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38C" w:rsidRDefault="0028138C">
    <w:pPr>
      <w:pStyle w:val="Kopfzeile"/>
    </w:pPr>
    <w:r>
      <w:tab/>
    </w:r>
    <w:r>
      <w:tab/>
    </w:r>
    <w:r>
      <w:rPr>
        <w:noProof/>
      </w:rPr>
      <w:drawing>
        <wp:inline distT="0" distB="0" distL="0" distR="0" wp14:anchorId="66F61BDC" wp14:editId="0A97AA5B">
          <wp:extent cx="2139315" cy="396875"/>
          <wp:effectExtent l="0" t="0" r="0" b="3175"/>
          <wp:docPr id="36" name="Grafik 36" descr="Wüstenrot &amp; Württembergis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üstenrot &amp; Württembergis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315" cy="396875"/>
                  </a:xfrm>
                  <a:prstGeom prst="rect">
                    <a:avLst/>
                  </a:prstGeom>
                  <a:noFill/>
                  <a:ln>
                    <a:noFill/>
                  </a:ln>
                </pic:spPr>
              </pic:pic>
            </a:graphicData>
          </a:graphic>
        </wp:inline>
      </w:drawing>
    </w:r>
  </w:p>
  <w:p w:rsidR="0028138C" w:rsidRDefault="0028138C">
    <w:pPr>
      <w:pStyle w:val="Kopfzeile"/>
    </w:pPr>
  </w:p>
  <w:p w:rsidR="0028138C" w:rsidRDefault="0028138C">
    <w:pPr>
      <w:pStyle w:val="Kopfzeile"/>
    </w:pPr>
  </w:p>
  <w:p w:rsidR="0028138C" w:rsidRDefault="0028138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7B90"/>
    <w:multiLevelType w:val="hybridMultilevel"/>
    <w:tmpl w:val="C19E81E4"/>
    <w:lvl w:ilvl="0" w:tplc="3242928E">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520B23"/>
    <w:multiLevelType w:val="hybridMultilevel"/>
    <w:tmpl w:val="B98EF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DD515A"/>
    <w:multiLevelType w:val="hybridMultilevel"/>
    <w:tmpl w:val="92847B0C"/>
    <w:lvl w:ilvl="0" w:tplc="69C8BC94">
      <w:start w:val="1"/>
      <w:numFmt w:val="bullet"/>
      <w:lvlText w:val=""/>
      <w:lvlJc w:val="left"/>
      <w:pPr>
        <w:ind w:left="1425" w:hanging="705"/>
      </w:pPr>
      <w:rPr>
        <w:rFonts w:ascii="Wingdings 2" w:hAnsi="Wingdings 2"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75"/>
    <w:rsid w:val="00014E8C"/>
    <w:rsid w:val="00026470"/>
    <w:rsid w:val="00042A80"/>
    <w:rsid w:val="00080167"/>
    <w:rsid w:val="000D2C72"/>
    <w:rsid w:val="000D383E"/>
    <w:rsid w:val="0010284B"/>
    <w:rsid w:val="00113592"/>
    <w:rsid w:val="00134422"/>
    <w:rsid w:val="00136B8D"/>
    <w:rsid w:val="001651E9"/>
    <w:rsid w:val="001E3A96"/>
    <w:rsid w:val="001F29DA"/>
    <w:rsid w:val="002030D4"/>
    <w:rsid w:val="00236607"/>
    <w:rsid w:val="00237A4F"/>
    <w:rsid w:val="00252EF1"/>
    <w:rsid w:val="002537F7"/>
    <w:rsid w:val="0028138C"/>
    <w:rsid w:val="002A1140"/>
    <w:rsid w:val="002E6487"/>
    <w:rsid w:val="003A03C9"/>
    <w:rsid w:val="003A2837"/>
    <w:rsid w:val="004078CD"/>
    <w:rsid w:val="0041735B"/>
    <w:rsid w:val="00420FA2"/>
    <w:rsid w:val="00425A6E"/>
    <w:rsid w:val="00444556"/>
    <w:rsid w:val="004745A2"/>
    <w:rsid w:val="004C2C52"/>
    <w:rsid w:val="004E0834"/>
    <w:rsid w:val="004F4FE6"/>
    <w:rsid w:val="004F6C7B"/>
    <w:rsid w:val="004F790E"/>
    <w:rsid w:val="00502253"/>
    <w:rsid w:val="00541276"/>
    <w:rsid w:val="00596215"/>
    <w:rsid w:val="005B6FCC"/>
    <w:rsid w:val="005E074E"/>
    <w:rsid w:val="00662567"/>
    <w:rsid w:val="006666F7"/>
    <w:rsid w:val="006C721A"/>
    <w:rsid w:val="006F7428"/>
    <w:rsid w:val="00701A09"/>
    <w:rsid w:val="00707D29"/>
    <w:rsid w:val="007579DE"/>
    <w:rsid w:val="00780896"/>
    <w:rsid w:val="007A2B69"/>
    <w:rsid w:val="007B7309"/>
    <w:rsid w:val="00834FA5"/>
    <w:rsid w:val="00877506"/>
    <w:rsid w:val="008921FF"/>
    <w:rsid w:val="008D1AE7"/>
    <w:rsid w:val="008D2D0E"/>
    <w:rsid w:val="008F14A7"/>
    <w:rsid w:val="00932E32"/>
    <w:rsid w:val="009349EA"/>
    <w:rsid w:val="00945585"/>
    <w:rsid w:val="0099293F"/>
    <w:rsid w:val="00997A7C"/>
    <w:rsid w:val="009B0738"/>
    <w:rsid w:val="009B54A4"/>
    <w:rsid w:val="009C5429"/>
    <w:rsid w:val="009C552F"/>
    <w:rsid w:val="009F1708"/>
    <w:rsid w:val="00A1732F"/>
    <w:rsid w:val="00A40416"/>
    <w:rsid w:val="00A5004F"/>
    <w:rsid w:val="00A757FF"/>
    <w:rsid w:val="00A8143B"/>
    <w:rsid w:val="00AD152A"/>
    <w:rsid w:val="00B65ACD"/>
    <w:rsid w:val="00B90315"/>
    <w:rsid w:val="00B938DD"/>
    <w:rsid w:val="00BD23C6"/>
    <w:rsid w:val="00BE706B"/>
    <w:rsid w:val="00C20675"/>
    <w:rsid w:val="00C27D8B"/>
    <w:rsid w:val="00C40A9B"/>
    <w:rsid w:val="00C63B6F"/>
    <w:rsid w:val="00C6405A"/>
    <w:rsid w:val="00C71C72"/>
    <w:rsid w:val="00CB7027"/>
    <w:rsid w:val="00CE500F"/>
    <w:rsid w:val="00D10256"/>
    <w:rsid w:val="00D14D9A"/>
    <w:rsid w:val="00D27E09"/>
    <w:rsid w:val="00D31FF8"/>
    <w:rsid w:val="00D801A5"/>
    <w:rsid w:val="00DD2AB8"/>
    <w:rsid w:val="00DD5879"/>
    <w:rsid w:val="00DF5917"/>
    <w:rsid w:val="00E1646A"/>
    <w:rsid w:val="00E23D4E"/>
    <w:rsid w:val="00E30596"/>
    <w:rsid w:val="00E567D5"/>
    <w:rsid w:val="00E703BE"/>
    <w:rsid w:val="00E9129B"/>
    <w:rsid w:val="00EB1107"/>
    <w:rsid w:val="00EC0F3D"/>
    <w:rsid w:val="00EC5A36"/>
    <w:rsid w:val="00F14F99"/>
    <w:rsid w:val="00F21C06"/>
    <w:rsid w:val="00F356C0"/>
    <w:rsid w:val="00F4482D"/>
    <w:rsid w:val="00F666BE"/>
    <w:rsid w:val="00FB510C"/>
    <w:rsid w:val="00FF2852"/>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1C72"/>
    <w:pPr>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03C9"/>
    <w:pPr>
      <w:tabs>
        <w:tab w:val="center" w:pos="4536"/>
        <w:tab w:val="right" w:pos="9072"/>
      </w:tabs>
    </w:pPr>
  </w:style>
  <w:style w:type="character" w:customStyle="1" w:styleId="KopfzeileZchn">
    <w:name w:val="Kopfzeile Zchn"/>
    <w:basedOn w:val="Absatz-Standardschriftart"/>
    <w:link w:val="Kopfzeile"/>
    <w:uiPriority w:val="99"/>
    <w:rsid w:val="003A03C9"/>
  </w:style>
  <w:style w:type="paragraph" w:styleId="Fuzeile">
    <w:name w:val="footer"/>
    <w:basedOn w:val="Standard"/>
    <w:link w:val="FuzeileZchn"/>
    <w:uiPriority w:val="99"/>
    <w:unhideWhenUsed/>
    <w:rsid w:val="003A03C9"/>
    <w:pPr>
      <w:tabs>
        <w:tab w:val="center" w:pos="4536"/>
        <w:tab w:val="right" w:pos="9072"/>
      </w:tabs>
    </w:pPr>
  </w:style>
  <w:style w:type="character" w:customStyle="1" w:styleId="FuzeileZchn">
    <w:name w:val="Fußzeile Zchn"/>
    <w:basedOn w:val="Absatz-Standardschriftart"/>
    <w:link w:val="Fuzeile"/>
    <w:uiPriority w:val="99"/>
    <w:rsid w:val="003A03C9"/>
  </w:style>
  <w:style w:type="paragraph" w:customStyle="1" w:styleId="Headline">
    <w:name w:val="Headline"/>
    <w:basedOn w:val="Standard"/>
    <w:next w:val="Text"/>
    <w:rsid w:val="00C71C72"/>
    <w:pPr>
      <w:spacing w:after="100" w:afterAutospacing="1"/>
    </w:pPr>
    <w:rPr>
      <w:b/>
      <w:sz w:val="24"/>
    </w:rPr>
  </w:style>
  <w:style w:type="paragraph" w:customStyle="1" w:styleId="Text">
    <w:name w:val="Text"/>
    <w:basedOn w:val="Standard"/>
    <w:autoRedefine/>
    <w:rsid w:val="00B938DD"/>
    <w:pPr>
      <w:tabs>
        <w:tab w:val="left" w:pos="6300"/>
      </w:tabs>
      <w:kinsoku w:val="0"/>
      <w:autoSpaceDE w:val="0"/>
      <w:autoSpaceDN w:val="0"/>
      <w:spacing w:after="120" w:line="360" w:lineRule="auto"/>
    </w:pPr>
    <w:rPr>
      <w:lang w:val="it-IT"/>
    </w:rPr>
  </w:style>
  <w:style w:type="character" w:styleId="Seitenzahl">
    <w:name w:val="page number"/>
    <w:basedOn w:val="Absatz-Standardschriftart"/>
    <w:rsid w:val="00C71C72"/>
  </w:style>
  <w:style w:type="paragraph" w:styleId="StandardWeb">
    <w:name w:val="Normal (Web)"/>
    <w:basedOn w:val="Standard"/>
    <w:rsid w:val="00C71C72"/>
    <w:pPr>
      <w:spacing w:before="100" w:beforeAutospacing="1" w:after="100" w:afterAutospacing="1"/>
    </w:pPr>
    <w:rPr>
      <w:rFonts w:ascii="Times New Roman" w:eastAsia="Batang" w:hAnsi="Times New Roman"/>
      <w:sz w:val="24"/>
      <w:lang w:eastAsia="ko-KR"/>
    </w:rPr>
  </w:style>
  <w:style w:type="table" w:styleId="Tabellenraster">
    <w:name w:val="Table Grid"/>
    <w:basedOn w:val="NormaleTabelle"/>
    <w:uiPriority w:val="39"/>
    <w:rsid w:val="00C71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F14A7"/>
    <w:rPr>
      <w:color w:val="808080"/>
    </w:rPr>
  </w:style>
  <w:style w:type="paragraph" w:styleId="Listenabsatz">
    <w:name w:val="List Paragraph"/>
    <w:basedOn w:val="Standard"/>
    <w:uiPriority w:val="34"/>
    <w:qFormat/>
    <w:rsid w:val="00C20675"/>
    <w:pPr>
      <w:ind w:left="720"/>
      <w:contextualSpacing/>
    </w:pPr>
  </w:style>
  <w:style w:type="character" w:styleId="Hyperlink">
    <w:name w:val="Hyperlink"/>
    <w:basedOn w:val="Absatz-Standardschriftart"/>
    <w:uiPriority w:val="99"/>
    <w:unhideWhenUsed/>
    <w:rsid w:val="00B938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36509">
      <w:bodyDiv w:val="1"/>
      <w:marLeft w:val="0"/>
      <w:marRight w:val="0"/>
      <w:marTop w:val="0"/>
      <w:marBottom w:val="0"/>
      <w:divBdr>
        <w:top w:val="none" w:sz="0" w:space="0" w:color="auto"/>
        <w:left w:val="none" w:sz="0" w:space="0" w:color="auto"/>
        <w:bottom w:val="none" w:sz="0" w:space="0" w:color="auto"/>
        <w:right w:val="none" w:sz="0" w:space="0" w:color="auto"/>
      </w:divBdr>
    </w:div>
    <w:div w:id="1617522783">
      <w:bodyDiv w:val="1"/>
      <w:marLeft w:val="0"/>
      <w:marRight w:val="0"/>
      <w:marTop w:val="0"/>
      <w:marBottom w:val="0"/>
      <w:divBdr>
        <w:top w:val="none" w:sz="0" w:space="0" w:color="auto"/>
        <w:left w:val="none" w:sz="0" w:space="0" w:color="auto"/>
        <w:bottom w:val="none" w:sz="0" w:space="0" w:color="auto"/>
        <w:right w:val="none" w:sz="0" w:space="0" w:color="auto"/>
      </w:divBdr>
    </w:div>
    <w:div w:id="16414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ww-ag.com/de/ueber_uns/vorstand___aufsichtsrat/vorstand-und-aufsichtsrat.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Abteilungsvorlagen\Aktuell%20W&amp;W\Presseinformation%20all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31789-81FE-4398-BA60-6E998DF0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Presseinformation allg.</Template>
  <TotalTime>0</TotalTime>
  <Pages>5</Pages>
  <Words>1582</Words>
  <Characters>9970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2017-03-28T07:21:00Z</dcterms:created>
  <dcterms:modified xsi:type="dcterms:W3CDTF">2017-03-30T07:21:00Z</dcterms:modified>
</cp:coreProperties>
</file>