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3"/>
        <w:gridCol w:w="2268"/>
        <w:gridCol w:w="850"/>
        <w:gridCol w:w="2268"/>
      </w:tblGrid>
      <w:tr w:rsidR="009B5166" w:rsidTr="006B3261">
        <w:tc>
          <w:tcPr>
            <w:tcW w:w="4323" w:type="dxa"/>
          </w:tcPr>
          <w:p w:rsidR="009B5166" w:rsidRPr="006B3261" w:rsidRDefault="009B5166">
            <w:pPr>
              <w:rPr>
                <w:rFonts w:ascii="Arial" w:hAnsi="Arial"/>
                <w:color w:val="0070C0"/>
              </w:rPr>
            </w:pPr>
          </w:p>
        </w:tc>
        <w:tc>
          <w:tcPr>
            <w:tcW w:w="2268" w:type="dxa"/>
          </w:tcPr>
          <w:p w:rsidR="009B5166" w:rsidRPr="006B3261" w:rsidRDefault="009B5166">
            <w:pPr>
              <w:rPr>
                <w:rFonts w:ascii="Arial" w:hAnsi="Arial"/>
                <w:color w:val="0070C0"/>
              </w:rPr>
            </w:pPr>
          </w:p>
        </w:tc>
        <w:tc>
          <w:tcPr>
            <w:tcW w:w="3118" w:type="dxa"/>
            <w:gridSpan w:val="2"/>
          </w:tcPr>
          <w:p w:rsidR="009B5166" w:rsidRPr="006B3261" w:rsidRDefault="003215DC">
            <w:pPr>
              <w:jc w:val="left"/>
              <w:rPr>
                <w:rFonts w:ascii="Arial" w:hAnsi="Arial"/>
                <w:b/>
                <w:color w:val="0070C0"/>
                <w:sz w:val="20"/>
              </w:rPr>
            </w:pPr>
            <w:r>
              <w:rPr>
                <w:rFonts w:ascii="Arial" w:hAnsi="Arial"/>
                <w:noProof/>
                <w:color w:val="0070C0"/>
              </w:rPr>
              <w:drawing>
                <wp:inline distT="0" distB="0" distL="0" distR="0">
                  <wp:extent cx="1808480" cy="416560"/>
                  <wp:effectExtent l="0" t="0" r="1270" b="2540"/>
                  <wp:docPr id="1" name="Bild 1" descr="Logo_VdPB_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dPB_indizi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80" cy="416560"/>
                          </a:xfrm>
                          <a:prstGeom prst="rect">
                            <a:avLst/>
                          </a:prstGeom>
                          <a:noFill/>
                          <a:ln>
                            <a:noFill/>
                          </a:ln>
                        </pic:spPr>
                      </pic:pic>
                    </a:graphicData>
                  </a:graphic>
                </wp:inline>
              </w:drawing>
            </w:r>
          </w:p>
        </w:tc>
      </w:tr>
      <w:tr w:rsidR="009B5166" w:rsidTr="00002DA4">
        <w:tc>
          <w:tcPr>
            <w:tcW w:w="4323" w:type="dxa"/>
          </w:tcPr>
          <w:p w:rsidR="009B5166" w:rsidRPr="006B3261" w:rsidRDefault="009B5166">
            <w:pPr>
              <w:rPr>
                <w:rFonts w:ascii="Arial" w:hAnsi="Arial"/>
                <w:color w:val="0070C0"/>
              </w:rPr>
            </w:pPr>
          </w:p>
        </w:tc>
        <w:tc>
          <w:tcPr>
            <w:tcW w:w="3118" w:type="dxa"/>
            <w:gridSpan w:val="2"/>
          </w:tcPr>
          <w:p w:rsidR="009B5166" w:rsidRPr="006B3261" w:rsidRDefault="009B5166">
            <w:pPr>
              <w:rPr>
                <w:rFonts w:ascii="Arial" w:hAnsi="Arial"/>
                <w:color w:val="0070C0"/>
              </w:rPr>
            </w:pPr>
          </w:p>
        </w:tc>
        <w:tc>
          <w:tcPr>
            <w:tcW w:w="2268" w:type="dxa"/>
          </w:tcPr>
          <w:p w:rsidR="009B5166" w:rsidRPr="006B3261" w:rsidRDefault="00BB15D4">
            <w:pPr>
              <w:rPr>
                <w:rFonts w:ascii="Arial" w:hAnsi="Arial"/>
                <w:color w:val="0070C0"/>
                <w:sz w:val="16"/>
              </w:rPr>
            </w:pPr>
            <w:r>
              <w:rPr>
                <w:rFonts w:ascii="Arial" w:hAnsi="Arial"/>
                <w:color w:val="0070C0"/>
                <w:sz w:val="16"/>
              </w:rPr>
              <w:br/>
            </w:r>
            <w:proofErr w:type="spellStart"/>
            <w:r w:rsidR="009B5166" w:rsidRPr="006B3261">
              <w:rPr>
                <w:rFonts w:ascii="Arial" w:hAnsi="Arial"/>
                <w:color w:val="0070C0"/>
                <w:sz w:val="16"/>
              </w:rPr>
              <w:t>Klingelhöferstraße</w:t>
            </w:r>
            <w:proofErr w:type="spellEnd"/>
            <w:r w:rsidR="009B5166" w:rsidRPr="006B3261">
              <w:rPr>
                <w:rFonts w:ascii="Arial" w:hAnsi="Arial"/>
                <w:color w:val="0070C0"/>
                <w:sz w:val="16"/>
              </w:rPr>
              <w:t xml:space="preserve"> 4</w:t>
            </w:r>
          </w:p>
          <w:p w:rsidR="009B5166" w:rsidRPr="006B3261" w:rsidRDefault="009B5166">
            <w:pPr>
              <w:rPr>
                <w:rFonts w:ascii="Arial" w:hAnsi="Arial"/>
                <w:color w:val="0070C0"/>
                <w:sz w:val="16"/>
              </w:rPr>
            </w:pPr>
            <w:r w:rsidRPr="006B3261">
              <w:rPr>
                <w:rFonts w:ascii="Arial" w:hAnsi="Arial"/>
                <w:color w:val="0070C0"/>
                <w:sz w:val="16"/>
              </w:rPr>
              <w:t>10785 Berlin</w:t>
            </w:r>
          </w:p>
          <w:p w:rsidR="009B5166" w:rsidRPr="006B3261" w:rsidRDefault="009B5166">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r w:rsidRPr="006B3261">
              <w:rPr>
                <w:rFonts w:ascii="Arial" w:hAnsi="Arial"/>
                <w:color w:val="0070C0"/>
              </w:rPr>
              <w:t>Pressemeldung</w:t>
            </w:r>
          </w:p>
        </w:tc>
        <w:tc>
          <w:tcPr>
            <w:tcW w:w="3118" w:type="dxa"/>
            <w:gridSpan w:val="2"/>
          </w:tcPr>
          <w:p w:rsidR="006B3261" w:rsidRPr="006B3261" w:rsidRDefault="005E3611" w:rsidP="006578BC">
            <w:pPr>
              <w:rPr>
                <w:rFonts w:ascii="Arial" w:hAnsi="Arial"/>
                <w:color w:val="0070C0"/>
              </w:rPr>
            </w:pPr>
            <w:r>
              <w:rPr>
                <w:rFonts w:ascii="Arial" w:hAnsi="Arial"/>
                <w:color w:val="0070C0"/>
              </w:rPr>
              <w:t xml:space="preserve">Berlin, </w:t>
            </w:r>
            <w:r w:rsidR="006578BC">
              <w:rPr>
                <w:rFonts w:ascii="Arial" w:hAnsi="Arial"/>
                <w:color w:val="0070C0"/>
              </w:rPr>
              <w:t>29</w:t>
            </w:r>
            <w:r>
              <w:rPr>
                <w:rFonts w:ascii="Arial" w:hAnsi="Arial"/>
                <w:color w:val="0070C0"/>
              </w:rPr>
              <w:t xml:space="preserve">. </w:t>
            </w:r>
            <w:r w:rsidR="006578BC">
              <w:rPr>
                <w:rFonts w:ascii="Arial" w:hAnsi="Arial"/>
                <w:color w:val="0070C0"/>
              </w:rPr>
              <w:t>März</w:t>
            </w:r>
            <w:r>
              <w:rPr>
                <w:rFonts w:ascii="Arial" w:hAnsi="Arial"/>
                <w:color w:val="0070C0"/>
              </w:rPr>
              <w:t xml:space="preserve"> 2016</w:t>
            </w:r>
          </w:p>
        </w:tc>
        <w:tc>
          <w:tcPr>
            <w:tcW w:w="2268" w:type="dxa"/>
          </w:tcPr>
          <w:p w:rsidR="006B3261" w:rsidRPr="006B3261" w:rsidRDefault="006B3261" w:rsidP="00300C05">
            <w:pPr>
              <w:rPr>
                <w:rFonts w:ascii="Arial" w:hAnsi="Arial"/>
                <w:color w:val="0070C0"/>
                <w:sz w:val="16"/>
              </w:rPr>
            </w:pPr>
            <w:r w:rsidRPr="006B3261">
              <w:rPr>
                <w:rFonts w:ascii="Arial" w:hAnsi="Arial"/>
                <w:color w:val="0070C0"/>
                <w:sz w:val="16"/>
              </w:rPr>
              <w:t>Verantwortlich:</w:t>
            </w:r>
          </w:p>
          <w:p w:rsidR="006B3261" w:rsidRPr="006B3261" w:rsidRDefault="006B3261" w:rsidP="00300C05">
            <w:pPr>
              <w:rPr>
                <w:rFonts w:ascii="Arial" w:hAnsi="Arial"/>
                <w:color w:val="0070C0"/>
                <w:sz w:val="16"/>
              </w:rPr>
            </w:pPr>
            <w:r w:rsidRPr="006B3261">
              <w:rPr>
                <w:rFonts w:ascii="Arial" w:hAnsi="Arial"/>
                <w:color w:val="0070C0"/>
                <w:sz w:val="16"/>
              </w:rPr>
              <w:t>Alexander Nothaft</w:t>
            </w:r>
          </w:p>
          <w:p w:rsidR="006B3261" w:rsidRPr="006B3261" w:rsidRDefault="006B3261" w:rsidP="006B3261">
            <w:pPr>
              <w:rPr>
                <w:rFonts w:ascii="Arial" w:hAnsi="Arial"/>
                <w:color w:val="0070C0"/>
                <w:sz w:val="16"/>
              </w:rPr>
            </w:pPr>
            <w:r w:rsidRPr="006B3261">
              <w:rPr>
                <w:rFonts w:ascii="Arial" w:hAnsi="Arial"/>
                <w:color w:val="0070C0"/>
                <w:sz w:val="16"/>
              </w:rPr>
              <w:t>Leiter Kommunikation</w:t>
            </w:r>
          </w:p>
        </w:tc>
      </w:tr>
      <w:tr w:rsidR="006B3261" w:rsidTr="00002DA4">
        <w:tc>
          <w:tcPr>
            <w:tcW w:w="4323" w:type="dxa"/>
          </w:tcPr>
          <w:p w:rsidR="006B3261" w:rsidRPr="006B3261" w:rsidRDefault="005E3611" w:rsidP="006578BC">
            <w:pPr>
              <w:rPr>
                <w:rFonts w:ascii="Arial" w:hAnsi="Arial"/>
                <w:color w:val="0070C0"/>
              </w:rPr>
            </w:pPr>
            <w:r>
              <w:rPr>
                <w:rFonts w:ascii="Arial" w:hAnsi="Arial"/>
                <w:color w:val="0070C0"/>
              </w:rPr>
              <w:t xml:space="preserve">Nr. </w:t>
            </w:r>
            <w:r w:rsidR="006578BC">
              <w:rPr>
                <w:rFonts w:ascii="Arial" w:hAnsi="Arial"/>
                <w:color w:val="0070C0"/>
              </w:rPr>
              <w:t>2</w:t>
            </w:r>
            <w:r w:rsidR="006B3261" w:rsidRPr="006B3261">
              <w:rPr>
                <w:rFonts w:ascii="Arial" w:hAnsi="Arial"/>
                <w:color w:val="0070C0"/>
              </w:rPr>
              <w:t>/</w:t>
            </w:r>
            <w:r>
              <w:rPr>
                <w:rFonts w:ascii="Arial" w:hAnsi="Arial"/>
                <w:color w:val="0070C0"/>
              </w:rPr>
              <w:t>2016</w:t>
            </w:r>
            <w:r w:rsidR="006B3261" w:rsidRPr="006B3261">
              <w:rPr>
                <w:rFonts w:ascii="Arial" w:hAnsi="Arial"/>
                <w:color w:val="0070C0"/>
              </w:rPr>
              <w:t xml:space="preserve">                                   </w:t>
            </w: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rsidP="00002DA4">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rsidP="00002DA4">
            <w:pPr>
              <w:rPr>
                <w:rFonts w:ascii="Arial" w:hAnsi="Arial"/>
                <w:color w:val="0070C0"/>
                <w:sz w:val="16"/>
              </w:rPr>
            </w:pPr>
            <w:r w:rsidRPr="006B3261">
              <w:rPr>
                <w:rFonts w:ascii="Arial" w:hAnsi="Arial"/>
                <w:color w:val="0070C0"/>
                <w:sz w:val="16"/>
              </w:rPr>
              <w:t>Telefon [030] 59 00 91-523</w:t>
            </w:r>
          </w:p>
          <w:p w:rsidR="006B3261" w:rsidRPr="006B3261" w:rsidRDefault="006B3261" w:rsidP="00002DA4">
            <w:pPr>
              <w:rPr>
                <w:rFonts w:ascii="Arial" w:hAnsi="Arial"/>
                <w:color w:val="0070C0"/>
                <w:sz w:val="16"/>
              </w:rPr>
            </w:pPr>
            <w:r w:rsidRPr="006B3261">
              <w:rPr>
                <w:rFonts w:ascii="Arial" w:hAnsi="Arial"/>
                <w:color w:val="0070C0"/>
                <w:sz w:val="16"/>
              </w:rPr>
              <w:t>Telefax [030] 59 00 91-501</w:t>
            </w:r>
          </w:p>
          <w:p w:rsidR="006B3261" w:rsidRDefault="006B3261" w:rsidP="00002DA4">
            <w:pPr>
              <w:rPr>
                <w:rFonts w:ascii="Arial" w:hAnsi="Arial"/>
                <w:color w:val="0070C0"/>
                <w:sz w:val="16"/>
              </w:rPr>
            </w:pPr>
            <w:r w:rsidRPr="006B3261">
              <w:rPr>
                <w:rFonts w:ascii="Arial" w:hAnsi="Arial"/>
                <w:color w:val="0070C0"/>
                <w:sz w:val="16"/>
              </w:rPr>
              <w:t>E-Mail: nothaft@vdpb.de</w:t>
            </w:r>
          </w:p>
          <w:p w:rsidR="005A3815" w:rsidRPr="006B3261" w:rsidRDefault="005A3815" w:rsidP="00002DA4">
            <w:pPr>
              <w:rPr>
                <w:rFonts w:ascii="Arial" w:hAnsi="Arial"/>
                <w:color w:val="0070C0"/>
                <w:sz w:val="16"/>
              </w:rPr>
            </w:pPr>
            <w:r>
              <w:rPr>
                <w:rFonts w:ascii="Arial" w:hAnsi="Arial"/>
                <w:color w:val="0070C0"/>
                <w:sz w:val="16"/>
              </w:rPr>
              <w:t>www.bausparkassen.de</w:t>
            </w:r>
          </w:p>
          <w:p w:rsidR="006B3261" w:rsidRPr="006B3261" w:rsidRDefault="006B3261">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pPr>
              <w:rPr>
                <w:rFonts w:ascii="Arial" w:hAnsi="Arial"/>
                <w:color w:val="0070C0"/>
                <w:sz w:val="16"/>
              </w:rPr>
            </w:pPr>
            <w:r w:rsidRPr="006B3261">
              <w:rPr>
                <w:rFonts w:ascii="Arial" w:hAnsi="Arial"/>
                <w:color w:val="0070C0"/>
                <w:sz w:val="16"/>
              </w:rPr>
              <w:t>Postfach 30 30 79</w:t>
            </w:r>
          </w:p>
          <w:p w:rsidR="006B3261" w:rsidRPr="006B3261" w:rsidRDefault="006B3261">
            <w:pPr>
              <w:rPr>
                <w:rFonts w:ascii="Arial" w:hAnsi="Arial"/>
                <w:color w:val="0070C0"/>
                <w:sz w:val="16"/>
              </w:rPr>
            </w:pPr>
            <w:r w:rsidRPr="006B3261">
              <w:rPr>
                <w:rFonts w:ascii="Arial" w:hAnsi="Arial"/>
                <w:color w:val="0070C0"/>
                <w:sz w:val="16"/>
              </w:rPr>
              <w:t>10730 Berlin</w:t>
            </w:r>
          </w:p>
        </w:tc>
      </w:tr>
    </w:tbl>
    <w:p w:rsidR="00002DA4" w:rsidRDefault="006578BC" w:rsidP="00BC3F28">
      <w:pPr>
        <w:pStyle w:val="Absatz"/>
        <w:tabs>
          <w:tab w:val="left" w:pos="6237"/>
        </w:tabs>
        <w:spacing w:before="0" w:after="0"/>
        <w:ind w:right="1700"/>
        <w:jc w:val="center"/>
        <w:rPr>
          <w:sz w:val="28"/>
          <w:szCs w:val="32"/>
          <w:u w:val="single"/>
        </w:rPr>
      </w:pPr>
      <w:r w:rsidRPr="00167075">
        <w:rPr>
          <w:sz w:val="28"/>
          <w:szCs w:val="32"/>
          <w:u w:val="single"/>
        </w:rPr>
        <w:t>Geldanlagen der Bundesbürger 2016</w:t>
      </w:r>
    </w:p>
    <w:p w:rsidR="00167075" w:rsidRPr="00167075" w:rsidRDefault="00167075" w:rsidP="00BC3F28">
      <w:pPr>
        <w:pStyle w:val="Absatz"/>
        <w:tabs>
          <w:tab w:val="left" w:pos="6237"/>
        </w:tabs>
        <w:spacing w:before="0" w:after="0"/>
        <w:ind w:right="1700"/>
        <w:jc w:val="center"/>
        <w:rPr>
          <w:sz w:val="28"/>
          <w:szCs w:val="32"/>
          <w:u w:val="single"/>
        </w:rPr>
      </w:pPr>
    </w:p>
    <w:p w:rsidR="00BC3F28" w:rsidRPr="001D6891" w:rsidRDefault="00167075" w:rsidP="004D71C5">
      <w:pPr>
        <w:pStyle w:val="Absatz"/>
        <w:tabs>
          <w:tab w:val="left" w:pos="6237"/>
        </w:tabs>
        <w:spacing w:before="0" w:after="0"/>
        <w:ind w:right="1700"/>
        <w:jc w:val="center"/>
        <w:rPr>
          <w:b/>
          <w:sz w:val="32"/>
          <w:szCs w:val="32"/>
        </w:rPr>
      </w:pPr>
      <w:r>
        <w:rPr>
          <w:b/>
          <w:bCs/>
          <w:sz w:val="32"/>
          <w:szCs w:val="32"/>
        </w:rPr>
        <w:t>Sparer schichten um</w:t>
      </w:r>
    </w:p>
    <w:p w:rsidR="00BC3F28" w:rsidRDefault="00BC3F28" w:rsidP="00BC3F28">
      <w:pPr>
        <w:pStyle w:val="Absatz"/>
        <w:tabs>
          <w:tab w:val="left" w:pos="6237"/>
        </w:tabs>
        <w:spacing w:before="0" w:after="0"/>
        <w:ind w:right="1700"/>
        <w:jc w:val="center"/>
        <w:rPr>
          <w:b/>
          <w:sz w:val="32"/>
        </w:rPr>
      </w:pPr>
    </w:p>
    <w:p w:rsidR="005E3611" w:rsidRPr="005E3611" w:rsidRDefault="005E3611" w:rsidP="004D71C5">
      <w:pPr>
        <w:pStyle w:val="NurText"/>
        <w:spacing w:before="120" w:line="360" w:lineRule="auto"/>
        <w:ind w:right="1982"/>
        <w:jc w:val="both"/>
        <w:rPr>
          <w:rFonts w:ascii="Times New Roman" w:hAnsi="Times New Roman"/>
          <w:sz w:val="24"/>
        </w:rPr>
      </w:pPr>
      <w:r w:rsidRPr="005E3611">
        <w:rPr>
          <w:rFonts w:ascii="Times New Roman" w:hAnsi="Times New Roman"/>
          <w:sz w:val="24"/>
        </w:rPr>
        <w:t xml:space="preserve">Berlin: </w:t>
      </w:r>
      <w:r w:rsidR="006578BC" w:rsidRPr="006578BC">
        <w:rPr>
          <w:rFonts w:ascii="Times New Roman" w:hAnsi="Times New Roman"/>
          <w:b/>
          <w:bCs/>
          <w:sz w:val="24"/>
        </w:rPr>
        <w:t>Die Nullzinspolitik der EZB spiegelt sich mittlerweile auch bei den Geldanlagen wider. Das ist ein Ergebnis einer aktuellen Umfrage zum Sparverhalten der Deutschen. TNS Infratest befragte dazu im Auftrag des Verbandes der Privaten Bausparkassen über 2.000 Bundesbürger im Alter von über 14 Jahren.</w:t>
      </w:r>
    </w:p>
    <w:p w:rsidR="006578BC" w:rsidRPr="006578BC" w:rsidRDefault="006578BC" w:rsidP="00167075">
      <w:pPr>
        <w:pStyle w:val="NurText"/>
        <w:spacing w:before="240" w:line="360" w:lineRule="auto"/>
        <w:ind w:right="1985"/>
        <w:jc w:val="both"/>
        <w:rPr>
          <w:rFonts w:ascii="Times New Roman" w:hAnsi="Times New Roman"/>
          <w:sz w:val="24"/>
        </w:rPr>
      </w:pPr>
      <w:r w:rsidRPr="006578BC">
        <w:rPr>
          <w:rFonts w:ascii="Times New Roman" w:hAnsi="Times New Roman"/>
          <w:sz w:val="24"/>
        </w:rPr>
        <w:t xml:space="preserve">Zwar ist das Sparbuch mit 48 Prozent immer noch die beliebteste Geldanlage. Vor einem Jahr waren es </w:t>
      </w:r>
      <w:r w:rsidR="00167075">
        <w:rPr>
          <w:rFonts w:ascii="Times New Roman" w:hAnsi="Times New Roman"/>
          <w:sz w:val="24"/>
        </w:rPr>
        <w:t xml:space="preserve">aber </w:t>
      </w:r>
      <w:r w:rsidRPr="006578BC">
        <w:rPr>
          <w:rFonts w:ascii="Times New Roman" w:hAnsi="Times New Roman"/>
          <w:sz w:val="24"/>
        </w:rPr>
        <w:t xml:space="preserve">noch 53 Prozent. Ein Minus von 5-Prozentpunkten musste ebenfalls das Girokonto hinnehmen. Es rangiert </w:t>
      </w:r>
      <w:r w:rsidR="00167075">
        <w:rPr>
          <w:rFonts w:ascii="Times New Roman" w:hAnsi="Times New Roman"/>
          <w:sz w:val="24"/>
        </w:rPr>
        <w:t>trot</w:t>
      </w:r>
      <w:r w:rsidR="00167075">
        <w:rPr>
          <w:rFonts w:ascii="Times New Roman" w:hAnsi="Times New Roman"/>
          <w:sz w:val="24"/>
        </w:rPr>
        <w:t>z</w:t>
      </w:r>
      <w:r w:rsidR="00167075">
        <w:rPr>
          <w:rFonts w:ascii="Times New Roman" w:hAnsi="Times New Roman"/>
          <w:sz w:val="24"/>
        </w:rPr>
        <w:t>dem noch</w:t>
      </w:r>
      <w:r w:rsidRPr="006578BC">
        <w:rPr>
          <w:rFonts w:ascii="Times New Roman" w:hAnsi="Times New Roman"/>
          <w:sz w:val="24"/>
        </w:rPr>
        <w:t xml:space="preserve"> auf Platz 2. Platz 3 </w:t>
      </w:r>
      <w:proofErr w:type="gramStart"/>
      <w:r w:rsidRPr="006578BC">
        <w:rPr>
          <w:rFonts w:ascii="Times New Roman" w:hAnsi="Times New Roman"/>
          <w:sz w:val="24"/>
        </w:rPr>
        <w:t>belegt unverä</w:t>
      </w:r>
      <w:bookmarkStart w:id="0" w:name="_GoBack"/>
      <w:bookmarkEnd w:id="0"/>
      <w:r w:rsidRPr="006578BC">
        <w:rPr>
          <w:rFonts w:ascii="Times New Roman" w:hAnsi="Times New Roman"/>
          <w:sz w:val="24"/>
        </w:rPr>
        <w:t>ndert der Bausparvertrag mit 35 Pr</w:t>
      </w:r>
      <w:r w:rsidRPr="006578BC">
        <w:rPr>
          <w:rFonts w:ascii="Times New Roman" w:hAnsi="Times New Roman"/>
          <w:sz w:val="24"/>
        </w:rPr>
        <w:t>o</w:t>
      </w:r>
      <w:r w:rsidRPr="006578BC">
        <w:rPr>
          <w:rFonts w:ascii="Times New Roman" w:hAnsi="Times New Roman"/>
          <w:sz w:val="24"/>
        </w:rPr>
        <w:t>zent – nach zuvor 37 Prozent</w:t>
      </w:r>
      <w:proofErr w:type="gramEnd"/>
      <w:r w:rsidRPr="006578BC">
        <w:rPr>
          <w:rFonts w:ascii="Times New Roman" w:hAnsi="Times New Roman"/>
          <w:sz w:val="24"/>
        </w:rPr>
        <w:t xml:space="preserve">.  </w:t>
      </w:r>
    </w:p>
    <w:p w:rsidR="00167075" w:rsidRDefault="006578BC" w:rsidP="00167075">
      <w:pPr>
        <w:pStyle w:val="NurText"/>
        <w:spacing w:before="240" w:line="360" w:lineRule="auto"/>
        <w:ind w:right="1985"/>
        <w:jc w:val="both"/>
        <w:rPr>
          <w:rFonts w:ascii="Times New Roman" w:hAnsi="Times New Roman"/>
          <w:sz w:val="24"/>
        </w:rPr>
      </w:pPr>
      <w:r w:rsidRPr="006578BC">
        <w:rPr>
          <w:rFonts w:ascii="Times New Roman" w:hAnsi="Times New Roman"/>
          <w:sz w:val="24"/>
        </w:rPr>
        <w:t>Renten- und Kapitallebensversicherungen werden aktuell von 32 Prozent der Bundesbürger genutzt. Der Rückgang gegenüber 2015 beträgt hier 3 Prozen</w:t>
      </w:r>
      <w:r w:rsidRPr="006578BC">
        <w:rPr>
          <w:rFonts w:ascii="Times New Roman" w:hAnsi="Times New Roman"/>
          <w:sz w:val="24"/>
        </w:rPr>
        <w:t>t</w:t>
      </w:r>
      <w:r w:rsidRPr="006578BC">
        <w:rPr>
          <w:rFonts w:ascii="Times New Roman" w:hAnsi="Times New Roman"/>
          <w:sz w:val="24"/>
        </w:rPr>
        <w:t>punkte. Ein Teil von dem, was bisher auf dem Girokonto gelandet ist, dürfte in Tagesgeldkonten</w:t>
      </w:r>
      <w:r w:rsidR="00167075">
        <w:rPr>
          <w:rFonts w:ascii="Times New Roman" w:hAnsi="Times New Roman"/>
          <w:sz w:val="24"/>
        </w:rPr>
        <w:t>/</w:t>
      </w:r>
      <w:r w:rsidRPr="006578BC">
        <w:rPr>
          <w:rFonts w:ascii="Times New Roman" w:hAnsi="Times New Roman"/>
          <w:sz w:val="24"/>
        </w:rPr>
        <w:t>Festgeldkonten</w:t>
      </w:r>
      <w:r w:rsidR="00167075">
        <w:rPr>
          <w:rFonts w:ascii="Times New Roman" w:hAnsi="Times New Roman"/>
          <w:sz w:val="24"/>
        </w:rPr>
        <w:t>/</w:t>
      </w:r>
      <w:r w:rsidRPr="006578BC">
        <w:rPr>
          <w:rFonts w:ascii="Times New Roman" w:hAnsi="Times New Roman"/>
          <w:sz w:val="24"/>
        </w:rPr>
        <w:t>Termingelder umgeschichtet worden sein. Diese Anlageform legte binnen Jahresfrist von 28 auf 30 Prozent zu.</w:t>
      </w:r>
    </w:p>
    <w:p w:rsidR="0093267B" w:rsidRDefault="006578BC" w:rsidP="00167075">
      <w:pPr>
        <w:pStyle w:val="NurText"/>
        <w:spacing w:before="240" w:line="360" w:lineRule="auto"/>
        <w:ind w:right="1985"/>
        <w:jc w:val="both"/>
        <w:rPr>
          <w:rFonts w:ascii="Times New Roman" w:hAnsi="Times New Roman"/>
          <w:sz w:val="24"/>
        </w:rPr>
      </w:pPr>
      <w:r w:rsidRPr="006578BC">
        <w:rPr>
          <w:rFonts w:ascii="Times New Roman" w:hAnsi="Times New Roman"/>
          <w:sz w:val="24"/>
        </w:rPr>
        <w:t>Die Seh</w:t>
      </w:r>
      <w:r w:rsidRPr="006578BC">
        <w:rPr>
          <w:rFonts w:ascii="Times New Roman" w:hAnsi="Times New Roman"/>
          <w:sz w:val="24"/>
        </w:rPr>
        <w:t>n</w:t>
      </w:r>
      <w:r w:rsidRPr="006578BC">
        <w:rPr>
          <w:rFonts w:ascii="Times New Roman" w:hAnsi="Times New Roman"/>
          <w:sz w:val="24"/>
        </w:rPr>
        <w:t>sucht nach Sachwerten wird durch den Anstieg bei Immobilien um 3 Prozentpunkte auf 28 Prozent und den gleich hohen Anstieg bei Investmen</w:t>
      </w:r>
      <w:r w:rsidRPr="006578BC">
        <w:rPr>
          <w:rFonts w:ascii="Times New Roman" w:hAnsi="Times New Roman"/>
          <w:sz w:val="24"/>
        </w:rPr>
        <w:t>t</w:t>
      </w:r>
      <w:r w:rsidRPr="006578BC">
        <w:rPr>
          <w:rFonts w:ascii="Times New Roman" w:hAnsi="Times New Roman"/>
          <w:sz w:val="24"/>
        </w:rPr>
        <w:t>fonds auf 22 Prozent deutlich. Bei der Riester-Rente gab es demgegenüber e</w:t>
      </w:r>
      <w:r w:rsidRPr="006578BC">
        <w:rPr>
          <w:rFonts w:ascii="Times New Roman" w:hAnsi="Times New Roman"/>
          <w:sz w:val="24"/>
        </w:rPr>
        <w:t>i</w:t>
      </w:r>
      <w:r w:rsidRPr="006578BC">
        <w:rPr>
          <w:rFonts w:ascii="Times New Roman" w:hAnsi="Times New Roman"/>
          <w:sz w:val="24"/>
        </w:rPr>
        <w:t>nen Rückgang von 25 auf 22 Prozent. Aktien, die bekanntlich ebenfalls Sac</w:t>
      </w:r>
      <w:r w:rsidRPr="006578BC">
        <w:rPr>
          <w:rFonts w:ascii="Times New Roman" w:hAnsi="Times New Roman"/>
          <w:sz w:val="24"/>
        </w:rPr>
        <w:t>h</w:t>
      </w:r>
      <w:r w:rsidRPr="006578BC">
        <w:rPr>
          <w:rFonts w:ascii="Times New Roman" w:hAnsi="Times New Roman"/>
          <w:sz w:val="24"/>
        </w:rPr>
        <w:lastRenderedPageBreak/>
        <w:t>werte ve</w:t>
      </w:r>
      <w:r w:rsidRPr="006578BC">
        <w:rPr>
          <w:rFonts w:ascii="Times New Roman" w:hAnsi="Times New Roman"/>
          <w:sz w:val="24"/>
        </w:rPr>
        <w:t>r</w:t>
      </w:r>
      <w:r w:rsidRPr="006578BC">
        <w:rPr>
          <w:rFonts w:ascii="Times New Roman" w:hAnsi="Times New Roman"/>
          <w:sz w:val="24"/>
        </w:rPr>
        <w:t>körpern, stiegen wiederum um 3 Prozentpunkte auf 16 Prozent. Keine Änd</w:t>
      </w:r>
      <w:r w:rsidRPr="006578BC">
        <w:rPr>
          <w:rFonts w:ascii="Times New Roman" w:hAnsi="Times New Roman"/>
          <w:sz w:val="24"/>
        </w:rPr>
        <w:t>e</w:t>
      </w:r>
      <w:r w:rsidRPr="006578BC">
        <w:rPr>
          <w:rFonts w:ascii="Times New Roman" w:hAnsi="Times New Roman"/>
          <w:sz w:val="24"/>
        </w:rPr>
        <w:t>rung ergab sich bei Festverzinslichen Wertpapieren, die unverändert von 6 Prozent der Befragten genannt wurden.</w:t>
      </w:r>
    </w:p>
    <w:p w:rsidR="00E80002" w:rsidRDefault="00E80002" w:rsidP="006578BC">
      <w:pPr>
        <w:pStyle w:val="NurText"/>
        <w:spacing w:before="120" w:line="360" w:lineRule="auto"/>
        <w:ind w:right="1982"/>
        <w:jc w:val="both"/>
        <w:rPr>
          <w:rFonts w:ascii="Times New Roman" w:hAnsi="Times New Roman"/>
          <w:sz w:val="24"/>
        </w:rPr>
      </w:pPr>
    </w:p>
    <w:p w:rsidR="00E80002" w:rsidRPr="00D95407" w:rsidRDefault="00E80002" w:rsidP="006578BC">
      <w:pPr>
        <w:pStyle w:val="NurText"/>
        <w:spacing w:before="120" w:line="360" w:lineRule="auto"/>
        <w:ind w:right="1982"/>
        <w:jc w:val="both"/>
        <w:rPr>
          <w:rFonts w:ascii="Times New Roman" w:hAnsi="Times New Roman"/>
          <w:sz w:val="24"/>
        </w:rPr>
      </w:pPr>
      <w:r>
        <w:rPr>
          <w:noProof/>
        </w:rPr>
        <w:drawing>
          <wp:inline distT="0" distB="0" distL="0" distR="0">
            <wp:extent cx="4970656" cy="4106129"/>
            <wp:effectExtent l="0" t="0" r="1905" b="8890"/>
            <wp:docPr id="2" name="Grafik 2" descr="C:\Users\Goetzinger\AppData\Local\Microsoft\Windows\Temporary Internet Files\Content.Word\vdpb-Geldanlagen-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etzinger\AppData\Local\Microsoft\Windows\Temporary Internet Files\Content.Word\vdpb-Geldanlagen-20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4968" cy="4109691"/>
                    </a:xfrm>
                    <a:prstGeom prst="rect">
                      <a:avLst/>
                    </a:prstGeom>
                    <a:noFill/>
                    <a:ln>
                      <a:noFill/>
                    </a:ln>
                  </pic:spPr>
                </pic:pic>
              </a:graphicData>
            </a:graphic>
          </wp:inline>
        </w:drawing>
      </w:r>
    </w:p>
    <w:sectPr w:rsidR="00E80002" w:rsidRPr="00D95407">
      <w:headerReference w:type="default" r:id="rId10"/>
      <w:pgSz w:w="11906" w:h="16838" w:code="9"/>
      <w:pgMar w:top="1701"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11" w:rsidRDefault="005E3611">
      <w:r>
        <w:separator/>
      </w:r>
    </w:p>
  </w:endnote>
  <w:endnote w:type="continuationSeparator" w:id="0">
    <w:p w:rsidR="005E3611" w:rsidRDefault="005E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11" w:rsidRDefault="005E3611">
      <w:r>
        <w:separator/>
      </w:r>
    </w:p>
  </w:footnote>
  <w:footnote w:type="continuationSeparator" w:id="0">
    <w:p w:rsidR="005E3611" w:rsidRDefault="005E3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166" w:rsidRDefault="009B5166">
    <w:pPr>
      <w:pStyle w:val="Kopfzeile"/>
      <w:tabs>
        <w:tab w:val="clear" w:pos="4536"/>
        <w:tab w:val="center" w:pos="3969"/>
      </w:tabs>
      <w:jc w:val="left"/>
    </w:pPr>
    <w:r>
      <w:tab/>
    </w:r>
    <w:r>
      <w:rPr>
        <w:rStyle w:val="Seitenzahl"/>
      </w:rPr>
      <w:fldChar w:fldCharType="begin"/>
    </w:r>
    <w:r>
      <w:rPr>
        <w:rStyle w:val="Seitenzahl"/>
      </w:rPr>
      <w:instrText xml:space="preserve"> PAGE </w:instrText>
    </w:r>
    <w:r>
      <w:rPr>
        <w:rStyle w:val="Seitenzahl"/>
      </w:rPr>
      <w:fldChar w:fldCharType="separate"/>
    </w:r>
    <w:r w:rsidR="00167075">
      <w:rPr>
        <w:rStyle w:val="Seitenzahl"/>
        <w:noProof/>
      </w:rPr>
      <w:t>2</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39D"/>
    <w:multiLevelType w:val="singleLevel"/>
    <w:tmpl w:val="987A05B8"/>
    <w:lvl w:ilvl="0">
      <w:start w:val="1"/>
      <w:numFmt w:val="bullet"/>
      <w:lvlText w:val="─"/>
      <w:lvlJc w:val="left"/>
      <w:pPr>
        <w:tabs>
          <w:tab w:val="num" w:pos="360"/>
        </w:tabs>
        <w:ind w:left="360" w:hanging="360"/>
      </w:pPr>
      <w:rPr>
        <w:rFonts w:ascii="Times New Roman" w:hAnsi="Times New Roman" w:hint="default"/>
        <w:sz w:val="16"/>
      </w:rPr>
    </w:lvl>
  </w:abstractNum>
  <w:abstractNum w:abstractNumId="1">
    <w:nsid w:val="2F267E1B"/>
    <w:multiLevelType w:val="singleLevel"/>
    <w:tmpl w:val="B1A6BB28"/>
    <w:lvl w:ilvl="0">
      <w:start w:val="3"/>
      <w:numFmt w:val="decimal"/>
      <w:lvlText w:val="%1."/>
      <w:lvlJc w:val="left"/>
      <w:pPr>
        <w:tabs>
          <w:tab w:val="num" w:pos="360"/>
        </w:tabs>
        <w:ind w:left="360" w:hanging="360"/>
      </w:pPr>
    </w:lvl>
  </w:abstractNum>
  <w:abstractNum w:abstractNumId="2">
    <w:nsid w:val="4C495B31"/>
    <w:multiLevelType w:val="singleLevel"/>
    <w:tmpl w:val="5DEA4A2E"/>
    <w:lvl w:ilvl="0">
      <w:numFmt w:val="bullet"/>
      <w:lvlText w:val="-"/>
      <w:lvlJc w:val="left"/>
      <w:pPr>
        <w:tabs>
          <w:tab w:val="num" w:pos="360"/>
        </w:tabs>
        <w:ind w:left="360" w:hanging="360"/>
      </w:pPr>
      <w:rPr>
        <w:rFonts w:hint="default"/>
      </w:rPr>
    </w:lvl>
  </w:abstractNum>
  <w:abstractNum w:abstractNumId="3">
    <w:nsid w:val="690943E5"/>
    <w:multiLevelType w:val="singleLevel"/>
    <w:tmpl w:val="0407000F"/>
    <w:lvl w:ilvl="0">
      <w:start w:val="1"/>
      <w:numFmt w:val="decimal"/>
      <w:lvlText w:val="%1."/>
      <w:lvlJc w:val="left"/>
      <w:pPr>
        <w:tabs>
          <w:tab w:val="num" w:pos="360"/>
        </w:tabs>
        <w:ind w:left="36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11"/>
    <w:rsid w:val="00002DA4"/>
    <w:rsid w:val="00165447"/>
    <w:rsid w:val="00167075"/>
    <w:rsid w:val="001D6891"/>
    <w:rsid w:val="00235278"/>
    <w:rsid w:val="00287DD4"/>
    <w:rsid w:val="002D113B"/>
    <w:rsid w:val="002D5011"/>
    <w:rsid w:val="00300C05"/>
    <w:rsid w:val="003215DC"/>
    <w:rsid w:val="004D71C5"/>
    <w:rsid w:val="005A3815"/>
    <w:rsid w:val="005E3611"/>
    <w:rsid w:val="005E36FC"/>
    <w:rsid w:val="006578BC"/>
    <w:rsid w:val="006B3261"/>
    <w:rsid w:val="007F4094"/>
    <w:rsid w:val="00841AA0"/>
    <w:rsid w:val="0084404D"/>
    <w:rsid w:val="0093267B"/>
    <w:rsid w:val="00993CB8"/>
    <w:rsid w:val="009B5166"/>
    <w:rsid w:val="009F6B1D"/>
    <w:rsid w:val="00BB15D4"/>
    <w:rsid w:val="00BC3F28"/>
    <w:rsid w:val="00C44EB8"/>
    <w:rsid w:val="00D95407"/>
    <w:rsid w:val="00DB1FCB"/>
    <w:rsid w:val="00E80002"/>
    <w:rsid w:val="00E8792D"/>
    <w:rsid w:val="00ED143E"/>
    <w:rsid w:val="00EE0498"/>
    <w:rsid w:val="00F6158A"/>
    <w:rsid w:val="00F662BA"/>
    <w:rsid w:val="00F74A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bsatz">
    <w:name w:val="Absatz"/>
    <w:basedOn w:val="Standard"/>
    <w:pPr>
      <w:spacing w:before="120" w:after="120"/>
    </w:pPr>
    <w:rPr>
      <w:sz w:val="22"/>
    </w:rPr>
  </w:style>
  <w:style w:type="paragraph" w:styleId="NurText">
    <w:name w:val="Plain Text"/>
    <w:basedOn w:val="Standard"/>
    <w:pPr>
      <w:jc w:val="left"/>
    </w:pPr>
    <w:rPr>
      <w:rFonts w:ascii="Courier New" w:hAnsi="Courier New"/>
      <w:sz w:val="20"/>
    </w:rPr>
  </w:style>
  <w:style w:type="paragraph" w:styleId="Textkrper">
    <w:name w:val="Body Text"/>
    <w:basedOn w:val="Standard"/>
    <w:pPr>
      <w:spacing w:line="360" w:lineRule="auto"/>
      <w:ind w:right="167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ind w:right="1699"/>
    </w:pPr>
  </w:style>
  <w:style w:type="paragraph" w:styleId="Sprechblasentext">
    <w:name w:val="Balloon Text"/>
    <w:basedOn w:val="Standard"/>
    <w:semiHidden/>
    <w:rsid w:val="00287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bsatz">
    <w:name w:val="Absatz"/>
    <w:basedOn w:val="Standard"/>
    <w:pPr>
      <w:spacing w:before="120" w:after="120"/>
    </w:pPr>
    <w:rPr>
      <w:sz w:val="22"/>
    </w:rPr>
  </w:style>
  <w:style w:type="paragraph" w:styleId="NurText">
    <w:name w:val="Plain Text"/>
    <w:basedOn w:val="Standard"/>
    <w:pPr>
      <w:jc w:val="left"/>
    </w:pPr>
    <w:rPr>
      <w:rFonts w:ascii="Courier New" w:hAnsi="Courier New"/>
      <w:sz w:val="20"/>
    </w:rPr>
  </w:style>
  <w:style w:type="paragraph" w:styleId="Textkrper">
    <w:name w:val="Body Text"/>
    <w:basedOn w:val="Standard"/>
    <w:pPr>
      <w:spacing w:line="360" w:lineRule="auto"/>
      <w:ind w:right="167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ind w:right="1699"/>
    </w:pPr>
  </w:style>
  <w:style w:type="paragraph" w:styleId="Sprechblasentext">
    <w:name w:val="Balloon Text"/>
    <w:basedOn w:val="Standard"/>
    <w:semiHidden/>
    <w:rsid w:val="00287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1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Vorlagen\Pressemeldung_Verband_Mail_20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Pressemeldung_Verband_Mail_2015</Template>
  <TotalTime>0</TotalTime>
  <Pages>2</Pages>
  <Words>253</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VDPB</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Götzinger, Lisa</dc:creator>
  <cp:lastModifiedBy>Götzinger, Lisa</cp:lastModifiedBy>
  <cp:revision>6</cp:revision>
  <cp:lastPrinted>2016-03-23T10:14:00Z</cp:lastPrinted>
  <dcterms:created xsi:type="dcterms:W3CDTF">2016-03-23T10:10:00Z</dcterms:created>
  <dcterms:modified xsi:type="dcterms:W3CDTF">2016-03-23T10:34:00Z</dcterms:modified>
</cp:coreProperties>
</file>